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19BE9C">
      <w:pPr>
        <w:widowControl/>
        <w:jc w:val="left"/>
        <w:rPr>
          <w:b/>
          <w:bCs/>
          <w:kern w:val="44"/>
          <w:sz w:val="36"/>
          <w:szCs w:val="44"/>
        </w:rPr>
      </w:pPr>
    </w:p>
    <w:p w14:paraId="1E922D2B">
      <w:pPr>
        <w:pStyle w:val="99"/>
        <w:spacing w:line="360" w:lineRule="auto"/>
        <w:jc w:val="center"/>
        <w:rPr>
          <w:b/>
          <w:bCs/>
          <w:sz w:val="30"/>
          <w:szCs w:val="30"/>
        </w:rPr>
      </w:pPr>
      <w:r>
        <w:rPr>
          <w:rFonts w:hint="eastAsia"/>
          <w:b/>
          <w:bCs/>
          <w:sz w:val="30"/>
          <w:szCs w:val="30"/>
        </w:rPr>
        <w:t>广东华特气体股份有限公司</w:t>
      </w:r>
    </w:p>
    <w:p w14:paraId="651DD346">
      <w:pPr>
        <w:pStyle w:val="99"/>
        <w:spacing w:line="360" w:lineRule="auto"/>
        <w:jc w:val="center"/>
        <w:rPr>
          <w:b/>
          <w:bCs/>
          <w:sz w:val="30"/>
          <w:szCs w:val="30"/>
        </w:rPr>
      </w:pPr>
      <w:r>
        <w:rPr>
          <w:rFonts w:hint="eastAsia"/>
          <w:b/>
          <w:bCs/>
          <w:sz w:val="30"/>
          <w:szCs w:val="30"/>
          <w:lang w:val="en-US" w:eastAsia="zh-CN"/>
        </w:rPr>
        <w:t>2024年</w:t>
      </w:r>
      <w:r>
        <w:rPr>
          <w:rFonts w:hint="eastAsia"/>
          <w:b/>
          <w:bCs/>
          <w:sz w:val="30"/>
          <w:szCs w:val="30"/>
        </w:rPr>
        <w:t>财务报表和内部控制审计项目采购</w:t>
      </w:r>
    </w:p>
    <w:p w14:paraId="26884D98">
      <w:pPr>
        <w:pStyle w:val="99"/>
        <w:spacing w:line="360" w:lineRule="auto"/>
        <w:jc w:val="center"/>
        <w:rPr>
          <w:b/>
          <w:bCs/>
          <w:sz w:val="30"/>
          <w:szCs w:val="30"/>
        </w:rPr>
      </w:pPr>
      <w:r>
        <w:rPr>
          <w:rFonts w:hint="eastAsia"/>
          <w:b/>
          <w:bCs/>
          <w:sz w:val="30"/>
          <w:szCs w:val="30"/>
        </w:rPr>
        <w:t>报价文件</w:t>
      </w:r>
    </w:p>
    <w:p w14:paraId="537CA754">
      <w:pPr>
        <w:pStyle w:val="99"/>
        <w:jc w:val="center"/>
      </w:pPr>
    </w:p>
    <w:p w14:paraId="3E8D8073">
      <w:pPr>
        <w:pStyle w:val="99"/>
        <w:jc w:val="center"/>
        <w:rPr>
          <w:rFonts w:ascii="仿宋" w:hAnsi="仿宋" w:eastAsia="仿宋" w:cs="仿宋"/>
          <w:kern w:val="2"/>
          <w:szCs w:val="24"/>
          <w:lang w:val="en-US"/>
        </w:rPr>
      </w:pPr>
    </w:p>
    <w:p w14:paraId="0E3593F7">
      <w:pPr>
        <w:widowControl/>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广东华特气体股份有限公司（以下简称</w:t>
      </w:r>
      <w:r>
        <w:rPr>
          <w:rFonts w:hint="eastAsia" w:ascii="仿宋" w:hAnsi="仿宋" w:eastAsia="仿宋" w:cs="仿宋"/>
          <w:sz w:val="24"/>
          <w:szCs w:val="24"/>
          <w:lang w:eastAsia="zh-CN"/>
        </w:rPr>
        <w:t>“</w:t>
      </w:r>
      <w:r>
        <w:rPr>
          <w:rFonts w:hint="eastAsia" w:ascii="仿宋" w:hAnsi="仿宋" w:eastAsia="仿宋" w:cs="仿宋"/>
          <w:sz w:val="24"/>
          <w:szCs w:val="24"/>
        </w:rPr>
        <w:t>华特气体</w:t>
      </w:r>
      <w:r>
        <w:rPr>
          <w:rFonts w:hint="eastAsia" w:ascii="仿宋" w:hAnsi="仿宋" w:eastAsia="仿宋" w:cs="仿宋"/>
          <w:sz w:val="24"/>
          <w:szCs w:val="24"/>
          <w:lang w:eastAsia="zh-CN"/>
        </w:rPr>
        <w:t>”</w:t>
      </w:r>
      <w:r>
        <w:rPr>
          <w:rFonts w:hint="eastAsia" w:ascii="仿宋" w:hAnsi="仿宋" w:eastAsia="仿宋" w:cs="仿宋"/>
          <w:sz w:val="24"/>
          <w:szCs w:val="24"/>
        </w:rPr>
        <w:t>或</w:t>
      </w:r>
      <w:r>
        <w:rPr>
          <w:rFonts w:hint="eastAsia" w:ascii="仿宋" w:hAnsi="仿宋" w:eastAsia="仿宋" w:cs="仿宋"/>
          <w:sz w:val="24"/>
          <w:szCs w:val="24"/>
          <w:lang w:eastAsia="zh-CN"/>
        </w:rPr>
        <w:t>“</w:t>
      </w:r>
      <w:r>
        <w:rPr>
          <w:rFonts w:hint="eastAsia" w:ascii="仿宋" w:hAnsi="仿宋" w:eastAsia="仿宋" w:cs="仿宋"/>
          <w:sz w:val="24"/>
          <w:szCs w:val="24"/>
        </w:rPr>
        <w:t>公司</w:t>
      </w:r>
      <w:r>
        <w:rPr>
          <w:rFonts w:hint="eastAsia" w:ascii="仿宋" w:hAnsi="仿宋" w:eastAsia="仿宋" w:cs="仿宋"/>
          <w:sz w:val="24"/>
          <w:szCs w:val="24"/>
          <w:lang w:eastAsia="zh-CN"/>
        </w:rPr>
        <w:t>”</w:t>
      </w:r>
      <w:r>
        <w:rPr>
          <w:rFonts w:hint="eastAsia" w:ascii="仿宋" w:hAnsi="仿宋" w:eastAsia="仿宋" w:cs="仿宋"/>
          <w:sz w:val="24"/>
          <w:szCs w:val="24"/>
        </w:rPr>
        <w:t>）是一家科创板上市企业，主要特种气体、普通工业气体以及相关的气体辅助设备与工程的生产和销售，根据监管部门要求，拟对公司202</w:t>
      </w:r>
      <w:r>
        <w:rPr>
          <w:rFonts w:hint="eastAsia" w:ascii="仿宋" w:hAnsi="仿宋" w:eastAsia="仿宋" w:cs="仿宋"/>
          <w:sz w:val="24"/>
          <w:szCs w:val="24"/>
          <w:lang w:val="en-US" w:eastAsia="zh-CN"/>
        </w:rPr>
        <w:t>4</w:t>
      </w:r>
      <w:r>
        <w:rPr>
          <w:rFonts w:hint="eastAsia" w:ascii="仿宋" w:hAnsi="仿宋" w:eastAsia="仿宋" w:cs="仿宋"/>
          <w:sz w:val="24"/>
          <w:szCs w:val="24"/>
        </w:rPr>
        <w:t>年财务报表和内部控制审计项目进行邀请报价，现将有关事项说明如下：</w:t>
      </w:r>
    </w:p>
    <w:p w14:paraId="7A86CA3B">
      <w:pPr>
        <w:widowControl/>
        <w:spacing w:line="360" w:lineRule="auto"/>
        <w:rPr>
          <w:rFonts w:ascii="仿宋" w:hAnsi="仿宋" w:eastAsia="仿宋" w:cs="仿宋"/>
          <w:sz w:val="24"/>
          <w:szCs w:val="24"/>
        </w:rPr>
      </w:pPr>
      <w:r>
        <w:rPr>
          <w:rFonts w:hint="eastAsia" w:ascii="仿宋" w:hAnsi="仿宋" w:eastAsia="仿宋" w:cs="仿宋"/>
          <w:b/>
          <w:kern w:val="0"/>
          <w:sz w:val="24"/>
          <w:szCs w:val="24"/>
        </w:rPr>
        <w:t>一、</w:t>
      </w:r>
      <w:r>
        <w:rPr>
          <w:rFonts w:hint="eastAsia" w:ascii="仿宋" w:hAnsi="仿宋" w:eastAsia="仿宋" w:cs="仿宋"/>
          <w:b/>
          <w:sz w:val="24"/>
          <w:szCs w:val="24"/>
        </w:rPr>
        <w:t>项目名称：</w:t>
      </w:r>
      <w:r>
        <w:rPr>
          <w:rFonts w:hint="eastAsia" w:ascii="仿宋" w:hAnsi="仿宋" w:eastAsia="仿宋" w:cs="仿宋"/>
          <w:sz w:val="24"/>
          <w:szCs w:val="24"/>
        </w:rPr>
        <w:t>广东华特气体股份有限公司202</w:t>
      </w:r>
      <w:r>
        <w:rPr>
          <w:rFonts w:hint="eastAsia" w:ascii="仿宋" w:hAnsi="仿宋" w:eastAsia="仿宋" w:cs="仿宋"/>
          <w:sz w:val="24"/>
          <w:szCs w:val="24"/>
          <w:lang w:val="en-US" w:eastAsia="zh-CN"/>
        </w:rPr>
        <w:t>4</w:t>
      </w:r>
      <w:r>
        <w:rPr>
          <w:rFonts w:hint="eastAsia" w:ascii="仿宋" w:hAnsi="仿宋" w:eastAsia="仿宋" w:cs="仿宋"/>
          <w:sz w:val="24"/>
          <w:szCs w:val="24"/>
        </w:rPr>
        <w:t>年财务报表和内部控制审计项目</w:t>
      </w:r>
    </w:p>
    <w:p w14:paraId="301374ED">
      <w:pPr>
        <w:widowControl/>
        <w:spacing w:line="360" w:lineRule="auto"/>
        <w:jc w:val="left"/>
        <w:rPr>
          <w:rFonts w:ascii="仿宋" w:hAnsi="仿宋" w:eastAsia="仿宋" w:cs="仿宋"/>
          <w:sz w:val="24"/>
          <w:szCs w:val="24"/>
        </w:rPr>
      </w:pPr>
      <w:r>
        <w:rPr>
          <w:rFonts w:hint="eastAsia" w:ascii="仿宋" w:hAnsi="仿宋" w:eastAsia="仿宋" w:cs="仿宋"/>
          <w:b/>
          <w:kern w:val="0"/>
          <w:sz w:val="24"/>
          <w:szCs w:val="24"/>
        </w:rPr>
        <w:t>二、项目内容</w:t>
      </w:r>
      <w:r>
        <w:rPr>
          <w:rFonts w:hint="eastAsia" w:ascii="仿宋" w:hAnsi="仿宋" w:eastAsia="仿宋" w:cs="仿宋"/>
          <w:b/>
          <w:sz w:val="24"/>
          <w:szCs w:val="24"/>
        </w:rPr>
        <w:t>：</w:t>
      </w:r>
    </w:p>
    <w:p w14:paraId="3D958199">
      <w:pPr>
        <w:widowControl/>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rPr>
        <w:t>根据监管部门要求，对华特气体合并报表范围内企业进行审计并出具年度审计报告，满足华特气体对外披露和报送需求；同时对华特气体年度内部控制审计并出具内部控制审计报告；对合并报表范围内企业出具募集资金专项审计报告（如有）；对合并报表范围内企业出具非经营性资金占用及其他关联资金往来情况的专项审计说明；对合并报表范围内企业出具营业收入扣除情况专项核查意见；对公司</w:t>
      </w:r>
      <w:r>
        <w:rPr>
          <w:rFonts w:ascii="仿宋" w:hAnsi="仿宋" w:eastAsia="仿宋" w:cs="仿宋"/>
          <w:sz w:val="24"/>
          <w:szCs w:val="24"/>
        </w:rPr>
        <w:t>募集资金置换预先投入募投项目</w:t>
      </w:r>
      <w:r>
        <w:rPr>
          <w:rFonts w:hint="eastAsia" w:ascii="仿宋" w:hAnsi="仿宋" w:eastAsia="仿宋" w:cs="仿宋"/>
          <w:sz w:val="24"/>
          <w:szCs w:val="24"/>
        </w:rPr>
        <w:t>出具</w:t>
      </w:r>
      <w:r>
        <w:rPr>
          <w:rFonts w:ascii="仿宋" w:hAnsi="仿宋" w:eastAsia="仿宋" w:cs="仿宋"/>
          <w:sz w:val="24"/>
          <w:szCs w:val="24"/>
        </w:rPr>
        <w:t>置换专项审核报告</w:t>
      </w:r>
      <w:r>
        <w:rPr>
          <w:rFonts w:hint="eastAsia"/>
        </w:rPr>
        <w:t>（如有）；</w:t>
      </w:r>
      <w:r>
        <w:rPr>
          <w:rFonts w:hint="eastAsia" w:ascii="仿宋" w:hAnsi="仿宋" w:eastAsia="仿宋" w:cs="仿宋"/>
          <w:sz w:val="24"/>
          <w:szCs w:val="24"/>
        </w:rPr>
        <w:t>对公司季度和半年度报告提供审阅服务；为公司日常会计核算提供财务咨询服务及其他需要提供的服务。</w:t>
      </w:r>
    </w:p>
    <w:p w14:paraId="6CFF33DB">
      <w:pPr>
        <w:widowControl/>
        <w:spacing w:line="360" w:lineRule="auto"/>
        <w:ind w:firstLine="480" w:firstLineChars="200"/>
        <w:jc w:val="left"/>
        <w:rPr>
          <w:rFonts w:ascii="仿宋" w:hAnsi="仿宋" w:eastAsia="仿宋" w:cs="仿宋"/>
          <w:sz w:val="24"/>
          <w:szCs w:val="24"/>
        </w:rPr>
      </w:pPr>
      <w:r>
        <w:rPr>
          <w:rFonts w:hint="eastAsia" w:ascii="仿宋" w:hAnsi="仿宋" w:eastAsia="仿宋" w:cs="仿宋"/>
          <w:sz w:val="24"/>
          <w:szCs w:val="24"/>
          <w:lang w:val="en-US" w:eastAsia="zh-CN"/>
        </w:rPr>
        <w:t>截至2024年6月30日</w:t>
      </w:r>
      <w:r>
        <w:rPr>
          <w:rFonts w:hint="eastAsia" w:ascii="仿宋" w:hAnsi="仿宋" w:eastAsia="仿宋" w:cs="仿宋"/>
          <w:sz w:val="24"/>
          <w:szCs w:val="24"/>
        </w:rPr>
        <w:t>，公</w:t>
      </w:r>
      <w:r>
        <w:rPr>
          <w:rFonts w:hint="eastAsia" w:ascii="仿宋" w:hAnsi="仿宋" w:eastAsia="仿宋" w:cs="仿宋"/>
          <w:sz w:val="24"/>
          <w:szCs w:val="24"/>
          <w:highlight w:val="none"/>
        </w:rPr>
        <w:t>司合并报表范围内企业为一家母公司、</w:t>
      </w:r>
      <w:r>
        <w:rPr>
          <w:rFonts w:hint="eastAsia" w:ascii="仿宋" w:hAnsi="仿宋" w:eastAsia="仿宋" w:cs="仿宋"/>
          <w:sz w:val="24"/>
          <w:szCs w:val="24"/>
          <w:highlight w:val="none"/>
          <w:lang w:val="en-US" w:eastAsia="zh-CN"/>
        </w:rPr>
        <w:t>二十六</w:t>
      </w:r>
      <w:r>
        <w:rPr>
          <w:rFonts w:hint="eastAsia" w:ascii="仿宋" w:hAnsi="仿宋" w:eastAsia="仿宋" w:cs="仿宋"/>
          <w:sz w:val="24"/>
          <w:szCs w:val="24"/>
          <w:highlight w:val="none"/>
        </w:rPr>
        <w:t>家子公司。</w:t>
      </w:r>
      <w:r>
        <w:rPr>
          <w:rFonts w:hint="eastAsia" w:ascii="仿宋" w:hAnsi="仿宋" w:eastAsia="仿宋" w:cs="仿宋"/>
          <w:sz w:val="24"/>
          <w:szCs w:val="24"/>
        </w:rPr>
        <w:t>合并报表范围包括服务期内发生合并、分立、重组、改制等产权变动的企业以及公司根据实际情况认为其他需要纳入审计服务范围的企业。</w:t>
      </w:r>
    </w:p>
    <w:p w14:paraId="3D767AC7">
      <w:pPr>
        <w:widowControl/>
        <w:spacing w:line="360" w:lineRule="auto"/>
        <w:jc w:val="left"/>
        <w:rPr>
          <w:rFonts w:ascii="仿宋" w:hAnsi="仿宋" w:eastAsia="仿宋" w:cs="仿宋"/>
          <w:sz w:val="24"/>
          <w:szCs w:val="24"/>
        </w:rPr>
      </w:pPr>
      <w:r>
        <w:rPr>
          <w:rFonts w:hint="eastAsia" w:ascii="仿宋" w:hAnsi="仿宋" w:eastAsia="仿宋" w:cs="仿宋"/>
          <w:b/>
          <w:sz w:val="24"/>
          <w:szCs w:val="24"/>
        </w:rPr>
        <w:t>三、</w:t>
      </w:r>
      <w:r>
        <w:rPr>
          <w:rFonts w:hint="eastAsia" w:ascii="仿宋" w:hAnsi="仿宋" w:eastAsia="仿宋" w:cs="仿宋"/>
          <w:sz w:val="24"/>
          <w:szCs w:val="24"/>
        </w:rPr>
        <w:t>报价方式：邀请报价。</w:t>
      </w:r>
    </w:p>
    <w:p w14:paraId="72BD16CA">
      <w:pPr>
        <w:widowControl/>
        <w:spacing w:line="360" w:lineRule="auto"/>
        <w:jc w:val="left"/>
        <w:rPr>
          <w:rFonts w:ascii="仿宋" w:hAnsi="仿宋" w:eastAsia="仿宋" w:cs="仿宋"/>
          <w:sz w:val="24"/>
          <w:szCs w:val="24"/>
        </w:rPr>
      </w:pPr>
      <w:r>
        <w:rPr>
          <w:rFonts w:hint="eastAsia" w:ascii="仿宋" w:hAnsi="仿宋" w:eastAsia="仿宋" w:cs="仿宋"/>
          <w:sz w:val="24"/>
          <w:szCs w:val="24"/>
        </w:rPr>
        <w:t>四、报价人资格要求：</w:t>
      </w:r>
    </w:p>
    <w:p w14:paraId="22E6F103">
      <w:pPr>
        <w:widowControl/>
        <w:spacing w:line="360" w:lineRule="auto"/>
        <w:jc w:val="left"/>
        <w:rPr>
          <w:rFonts w:ascii="仿宋" w:hAnsi="仿宋" w:eastAsia="仿宋" w:cs="仿宋"/>
          <w:sz w:val="24"/>
          <w:szCs w:val="24"/>
        </w:rPr>
      </w:pPr>
      <w:r>
        <w:rPr>
          <w:rFonts w:hint="eastAsia" w:ascii="仿宋" w:hAnsi="仿宋" w:eastAsia="仿宋" w:cs="仿宋"/>
          <w:sz w:val="24"/>
          <w:szCs w:val="24"/>
        </w:rPr>
        <w:t>1、报价人具备特殊普通合伙资格和履行合同能力的服务商（如报价人为分所，须提供总所对本项目的唯一授权委托书）；</w:t>
      </w:r>
    </w:p>
    <w:p w14:paraId="7F5B6C78">
      <w:pPr>
        <w:widowControl/>
        <w:spacing w:line="360" w:lineRule="auto"/>
        <w:jc w:val="left"/>
        <w:rPr>
          <w:rFonts w:ascii="仿宋" w:hAnsi="仿宋" w:eastAsia="仿宋" w:cs="仿宋"/>
          <w:sz w:val="24"/>
          <w:szCs w:val="24"/>
        </w:rPr>
      </w:pPr>
      <w:r>
        <w:rPr>
          <w:rFonts w:hint="eastAsia" w:ascii="仿宋" w:hAnsi="仿宋" w:eastAsia="仿宋" w:cs="仿宋"/>
          <w:sz w:val="24"/>
          <w:szCs w:val="24"/>
        </w:rPr>
        <w:t>2、报价人资质最低要求：具有财政部门颁发的有效的会计师事务所执业证书，且具备从事证券、期货相关服务业务许可并报国务院证券监督管理机构和国务院有关主管部门备案；</w:t>
      </w:r>
    </w:p>
    <w:p w14:paraId="62D10BFD">
      <w:pPr>
        <w:widowControl/>
        <w:spacing w:line="360" w:lineRule="auto"/>
        <w:jc w:val="left"/>
        <w:rPr>
          <w:rFonts w:ascii="仿宋" w:hAnsi="仿宋" w:eastAsia="仿宋" w:cs="仿宋"/>
          <w:color w:val="FF0000"/>
          <w:sz w:val="24"/>
          <w:szCs w:val="24"/>
        </w:rPr>
      </w:pPr>
      <w:r>
        <w:rPr>
          <w:rFonts w:ascii="仿宋" w:hAnsi="仿宋" w:eastAsia="仿宋" w:cs="仿宋"/>
          <w:sz w:val="24"/>
          <w:szCs w:val="24"/>
        </w:rPr>
        <w:t>3</w:t>
      </w:r>
      <w:r>
        <w:rPr>
          <w:rFonts w:hint="eastAsia" w:ascii="仿宋" w:hAnsi="仿宋" w:eastAsia="仿宋" w:cs="仿宋"/>
          <w:sz w:val="24"/>
          <w:szCs w:val="24"/>
        </w:rPr>
        <w:t>、报价</w:t>
      </w:r>
      <w:r>
        <w:rPr>
          <w:rFonts w:ascii="仿宋" w:hAnsi="仿宋" w:eastAsia="仿宋" w:cs="仿宋"/>
          <w:sz w:val="24"/>
          <w:szCs w:val="24"/>
        </w:rPr>
        <w:t>人拟投入本项目的项目负责人</w:t>
      </w:r>
      <w:r>
        <w:rPr>
          <w:rFonts w:hint="eastAsia" w:ascii="仿宋" w:hAnsi="仿宋" w:eastAsia="仿宋" w:cs="仿宋"/>
          <w:sz w:val="24"/>
          <w:szCs w:val="24"/>
        </w:rPr>
        <w:t>及服务团队</w:t>
      </w:r>
      <w:r>
        <w:rPr>
          <w:rFonts w:ascii="仿宋" w:hAnsi="仿宋" w:eastAsia="仿宋" w:cs="仿宋"/>
          <w:sz w:val="24"/>
          <w:szCs w:val="24"/>
        </w:rPr>
        <w:t>最低要求：</w:t>
      </w:r>
      <w:r>
        <w:rPr>
          <w:rFonts w:hint="eastAsia" w:ascii="仿宋" w:hAnsi="仿宋" w:eastAsia="仿宋" w:cs="仿宋"/>
          <w:sz w:val="24"/>
          <w:szCs w:val="24"/>
        </w:rPr>
        <w:t>项目负责人</w:t>
      </w:r>
      <w:r>
        <w:rPr>
          <w:rFonts w:ascii="仿宋" w:hAnsi="仿宋" w:eastAsia="仿宋" w:cs="仿宋"/>
          <w:sz w:val="24"/>
          <w:szCs w:val="24"/>
        </w:rPr>
        <w:t>具有注册会计师执业资格证书</w:t>
      </w:r>
      <w:r>
        <w:rPr>
          <w:rFonts w:hint="eastAsia" w:ascii="仿宋" w:hAnsi="仿宋" w:eastAsia="仿宋" w:cs="仿宋"/>
          <w:sz w:val="24"/>
          <w:szCs w:val="24"/>
        </w:rPr>
        <w:t>、</w:t>
      </w:r>
      <w:r>
        <w:rPr>
          <w:rFonts w:ascii="仿宋" w:hAnsi="仿宋" w:eastAsia="仿宋" w:cs="仿宋"/>
          <w:sz w:val="24"/>
          <w:szCs w:val="24"/>
        </w:rPr>
        <w:t>具有</w:t>
      </w:r>
      <w:r>
        <w:rPr>
          <w:rFonts w:hint="eastAsia" w:ascii="仿宋" w:hAnsi="仿宋" w:eastAsia="仿宋" w:cs="仿宋"/>
          <w:sz w:val="24"/>
          <w:szCs w:val="24"/>
        </w:rPr>
        <w:t>五</w:t>
      </w:r>
      <w:r>
        <w:rPr>
          <w:rFonts w:ascii="仿宋" w:hAnsi="仿宋" w:eastAsia="仿宋" w:cs="仿宋"/>
          <w:sz w:val="24"/>
          <w:szCs w:val="24"/>
        </w:rPr>
        <w:t>年（含）以上上市公司财务报表主审经历（提供项目负责人相关业绩证明）</w:t>
      </w:r>
      <w:r>
        <w:rPr>
          <w:rFonts w:hint="eastAsia" w:ascii="仿宋" w:hAnsi="仿宋" w:eastAsia="仿宋" w:cs="仿宋"/>
          <w:sz w:val="24"/>
          <w:szCs w:val="24"/>
        </w:rPr>
        <w:t>，拟派项目服务团队工作人员至少十人具备三年以上工作经验；</w:t>
      </w:r>
    </w:p>
    <w:p w14:paraId="0075942F">
      <w:pPr>
        <w:widowControl/>
        <w:spacing w:line="360" w:lineRule="auto"/>
        <w:jc w:val="left"/>
        <w:rPr>
          <w:rFonts w:ascii="仿宋" w:hAnsi="仿宋" w:eastAsia="仿宋" w:cs="仿宋"/>
          <w:sz w:val="24"/>
          <w:szCs w:val="24"/>
        </w:rPr>
      </w:pPr>
      <w:r>
        <w:rPr>
          <w:rFonts w:hint="eastAsia" w:ascii="仿宋" w:hAnsi="仿宋" w:eastAsia="仿宋" w:cs="仿宋"/>
          <w:sz w:val="24"/>
          <w:szCs w:val="24"/>
        </w:rPr>
        <w:t>4、报价人须保证在监管部门规定和业务约定的时间要求内完成审计工作，出具报告。</w:t>
      </w:r>
    </w:p>
    <w:p w14:paraId="7325DB6C">
      <w:pPr>
        <w:widowControl/>
        <w:spacing w:line="360" w:lineRule="auto"/>
        <w:jc w:val="left"/>
        <w:rPr>
          <w:rFonts w:ascii="仿宋" w:hAnsi="仿宋" w:eastAsia="仿宋" w:cs="仿宋"/>
          <w:b/>
          <w:sz w:val="24"/>
          <w:szCs w:val="24"/>
          <w:highlight w:val="none"/>
        </w:rPr>
      </w:pPr>
      <w:r>
        <w:rPr>
          <w:rFonts w:hint="eastAsia" w:ascii="仿宋" w:hAnsi="仿宋" w:eastAsia="仿宋" w:cs="仿宋"/>
          <w:b/>
          <w:sz w:val="24"/>
          <w:szCs w:val="24"/>
        </w:rPr>
        <w:t>五、</w:t>
      </w:r>
      <w:r>
        <w:rPr>
          <w:rFonts w:hint="eastAsia" w:ascii="仿宋" w:hAnsi="仿宋" w:eastAsia="仿宋" w:cs="仿宋"/>
          <w:sz w:val="24"/>
          <w:szCs w:val="24"/>
        </w:rPr>
        <w:t>报价</w:t>
      </w:r>
      <w:r>
        <w:rPr>
          <w:rFonts w:hint="eastAsia" w:ascii="仿宋" w:hAnsi="仿宋" w:eastAsia="仿宋" w:cs="仿宋"/>
          <w:sz w:val="24"/>
          <w:szCs w:val="24"/>
          <w:highlight w:val="none"/>
        </w:rPr>
        <w:t>时间：</w:t>
      </w:r>
    </w:p>
    <w:p w14:paraId="6212B536">
      <w:pPr>
        <w:widowControl/>
        <w:spacing w:line="360" w:lineRule="auto"/>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时间：202</w:t>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年</w:t>
      </w:r>
      <w:r>
        <w:rPr>
          <w:rFonts w:hint="eastAsia" w:ascii="仿宋" w:hAnsi="仿宋" w:eastAsia="仿宋" w:cs="仿宋"/>
          <w:sz w:val="24"/>
          <w:szCs w:val="24"/>
          <w:highlight w:val="none"/>
          <w:lang w:val="en-US" w:eastAsia="zh-CN"/>
        </w:rPr>
        <w:t>9</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29</w:t>
      </w:r>
      <w:r>
        <w:rPr>
          <w:rFonts w:hint="eastAsia" w:ascii="仿宋" w:hAnsi="仿宋" w:eastAsia="仿宋" w:cs="仿宋"/>
          <w:sz w:val="24"/>
          <w:szCs w:val="24"/>
          <w:highlight w:val="none"/>
        </w:rPr>
        <w:t>日</w:t>
      </w:r>
      <w:r>
        <w:rPr>
          <w:rFonts w:hint="eastAsia" w:ascii="仿宋" w:hAnsi="仿宋" w:eastAsia="仿宋" w:cs="仿宋"/>
          <w:sz w:val="24"/>
          <w:szCs w:val="24"/>
          <w:highlight w:val="none"/>
          <w:lang w:val="en-US" w:eastAsia="zh-CN"/>
        </w:rPr>
        <w:t>前</w:t>
      </w:r>
      <w:r>
        <w:rPr>
          <w:rFonts w:hint="eastAsia" w:ascii="仿宋" w:hAnsi="仿宋" w:eastAsia="仿宋" w:cs="仿宋"/>
          <w:sz w:val="24"/>
          <w:szCs w:val="24"/>
          <w:highlight w:val="none"/>
        </w:rPr>
        <w:t>（逾期不予受理）。</w:t>
      </w:r>
    </w:p>
    <w:p w14:paraId="598AD099">
      <w:pPr>
        <w:widowControl/>
        <w:spacing w:line="360" w:lineRule="auto"/>
        <w:jc w:val="left"/>
        <w:rPr>
          <w:rFonts w:ascii="仿宋" w:hAnsi="仿宋" w:eastAsia="仿宋" w:cs="仿宋"/>
          <w:b/>
          <w:sz w:val="24"/>
          <w:szCs w:val="24"/>
        </w:rPr>
      </w:pPr>
      <w:r>
        <w:rPr>
          <w:rFonts w:hint="eastAsia" w:ascii="仿宋" w:hAnsi="仿宋" w:eastAsia="仿宋" w:cs="仿宋"/>
          <w:b/>
          <w:sz w:val="24"/>
          <w:szCs w:val="24"/>
        </w:rPr>
        <w:t>六、</w:t>
      </w:r>
      <w:r>
        <w:rPr>
          <w:rFonts w:hint="eastAsia" w:ascii="仿宋" w:hAnsi="仿宋" w:eastAsia="仿宋" w:cs="仿宋"/>
          <w:sz w:val="24"/>
          <w:szCs w:val="24"/>
        </w:rPr>
        <w:t>报价方式</w:t>
      </w:r>
    </w:p>
    <w:p w14:paraId="7A58E083">
      <w:pPr>
        <w:widowControl/>
        <w:spacing w:line="360" w:lineRule="auto"/>
        <w:ind w:firstLine="240" w:firstLineChars="100"/>
        <w:jc w:val="left"/>
        <w:rPr>
          <w:rFonts w:ascii="仿宋" w:hAnsi="仿宋" w:eastAsia="仿宋" w:cs="仿宋"/>
          <w:sz w:val="24"/>
          <w:szCs w:val="24"/>
        </w:rPr>
      </w:pPr>
      <w:r>
        <w:rPr>
          <w:rFonts w:hint="eastAsia" w:ascii="仿宋" w:hAnsi="仿宋" w:eastAsia="仿宋" w:cs="仿宋"/>
          <w:sz w:val="24"/>
          <w:szCs w:val="24"/>
        </w:rPr>
        <w:t>报名方式：邮寄报价。</w:t>
      </w:r>
    </w:p>
    <w:p w14:paraId="23A3A854">
      <w:pPr>
        <w:widowControl/>
        <w:spacing w:line="360" w:lineRule="auto"/>
        <w:ind w:firstLine="240" w:firstLineChars="100"/>
        <w:jc w:val="left"/>
        <w:rPr>
          <w:rFonts w:ascii="仿宋" w:hAnsi="仿宋" w:eastAsia="仿宋" w:cs="仿宋"/>
          <w:sz w:val="24"/>
          <w:szCs w:val="24"/>
        </w:rPr>
      </w:pPr>
      <w:r>
        <w:rPr>
          <w:rFonts w:hint="eastAsia" w:ascii="仿宋" w:hAnsi="仿宋" w:eastAsia="仿宋" w:cs="仿宋"/>
          <w:sz w:val="24"/>
          <w:szCs w:val="24"/>
        </w:rPr>
        <w:t>邮寄地址：广东华特气体股份有限公司财务部（广东省佛山市南海区里水镇和顺逢西村文头岭脚东侧）。</w:t>
      </w:r>
    </w:p>
    <w:p w14:paraId="7F0E4076">
      <w:pPr>
        <w:widowControl/>
        <w:spacing w:line="360" w:lineRule="auto"/>
        <w:ind w:firstLine="240" w:firstLineChars="100"/>
        <w:jc w:val="left"/>
        <w:rPr>
          <w:rFonts w:ascii="仿宋" w:hAnsi="仿宋" w:eastAsia="仿宋" w:cs="仿宋"/>
          <w:sz w:val="24"/>
          <w:szCs w:val="24"/>
        </w:rPr>
      </w:pPr>
      <w:r>
        <w:rPr>
          <w:rFonts w:hint="eastAsia" w:ascii="仿宋" w:hAnsi="仿宋" w:eastAsia="仿宋" w:cs="仿宋"/>
          <w:sz w:val="24"/>
          <w:szCs w:val="24"/>
        </w:rPr>
        <w:t xml:space="preserve">联系人：万灵芝 </w:t>
      </w:r>
      <w:r>
        <w:rPr>
          <w:rFonts w:ascii="仿宋" w:hAnsi="仿宋" w:eastAsia="仿宋" w:cs="仿宋"/>
          <w:sz w:val="24"/>
          <w:szCs w:val="24"/>
        </w:rPr>
        <w:t xml:space="preserve"> </w:t>
      </w:r>
      <w:r>
        <w:rPr>
          <w:rFonts w:hint="eastAsia" w:ascii="仿宋" w:hAnsi="仿宋" w:eastAsia="仿宋" w:cs="仿宋"/>
          <w:sz w:val="24"/>
          <w:szCs w:val="24"/>
        </w:rPr>
        <w:t>联系电话</w:t>
      </w:r>
      <w:r>
        <w:rPr>
          <w:rFonts w:ascii="仿宋" w:hAnsi="仿宋" w:eastAsia="仿宋" w:cs="仿宋"/>
          <w:sz w:val="24"/>
          <w:szCs w:val="24"/>
        </w:rPr>
        <w:t>0757-81008813</w:t>
      </w:r>
    </w:p>
    <w:p w14:paraId="5C91C971">
      <w:pPr>
        <w:widowControl/>
        <w:spacing w:line="360" w:lineRule="auto"/>
        <w:jc w:val="left"/>
        <w:rPr>
          <w:rFonts w:ascii="仿宋" w:hAnsi="仿宋" w:eastAsia="仿宋" w:cs="仿宋"/>
          <w:sz w:val="24"/>
          <w:szCs w:val="24"/>
        </w:rPr>
      </w:pPr>
      <w:r>
        <w:rPr>
          <w:rFonts w:hint="eastAsia" w:ascii="仿宋" w:hAnsi="仿宋" w:eastAsia="仿宋" w:cs="仿宋"/>
          <w:sz w:val="24"/>
          <w:szCs w:val="24"/>
        </w:rPr>
        <w:t>七、报价文件（具体格式见附件）</w:t>
      </w:r>
    </w:p>
    <w:p w14:paraId="7D3A8E64">
      <w:pPr>
        <w:widowControl/>
        <w:spacing w:line="360" w:lineRule="auto"/>
        <w:jc w:val="left"/>
        <w:rPr>
          <w:rFonts w:ascii="仿宋" w:hAnsi="仿宋" w:eastAsia="仿宋" w:cs="仿宋"/>
          <w:sz w:val="24"/>
          <w:szCs w:val="24"/>
        </w:rPr>
      </w:pPr>
      <w:bookmarkStart w:id="0" w:name="_Toc136523160"/>
      <w:r>
        <w:rPr>
          <w:rFonts w:hint="eastAsia" w:ascii="仿宋" w:hAnsi="仿宋" w:eastAsia="仿宋" w:cs="仿宋"/>
          <w:sz w:val="24"/>
          <w:szCs w:val="24"/>
        </w:rPr>
        <w:t>1 营业执照、会计师事务所执业证书（加盖公章扫描件）</w:t>
      </w:r>
      <w:r>
        <w:rPr>
          <w:rFonts w:hint="eastAsia" w:ascii="仿宋" w:hAnsi="仿宋" w:eastAsia="仿宋" w:cs="仿宋"/>
          <w:sz w:val="24"/>
          <w:szCs w:val="24"/>
        </w:rPr>
        <w:cr/>
      </w:r>
      <w:r>
        <w:rPr>
          <w:rFonts w:hint="eastAsia" w:ascii="仿宋" w:hAnsi="仿宋" w:eastAsia="仿宋" w:cs="仿宋"/>
          <w:sz w:val="24"/>
          <w:szCs w:val="24"/>
        </w:rPr>
        <w:t xml:space="preserve">2 事务所机构信息介绍（包括人员数量，注册会计师人数等）、事务所近三年诚信记录，包括刑事处罚、行政处罚、行政监管措施和自律处分等情况 （加盖公章扫描件） </w:t>
      </w:r>
      <w:r>
        <w:rPr>
          <w:rFonts w:hint="eastAsia" w:ascii="仿宋" w:hAnsi="仿宋" w:eastAsia="仿宋" w:cs="仿宋"/>
          <w:sz w:val="24"/>
          <w:szCs w:val="24"/>
        </w:rPr>
        <w:cr/>
      </w:r>
      <w:r>
        <w:rPr>
          <w:rFonts w:hint="eastAsia" w:ascii="仿宋" w:hAnsi="仿宋" w:eastAsia="仿宋" w:cs="仿宋"/>
          <w:sz w:val="24"/>
          <w:szCs w:val="24"/>
        </w:rPr>
        <w:t>3 项目合伙人的注册会计师证书、履历、下属团队人数情况及近3年负责国内上市公司的名单及签字情况。（加盖公章扫描件）</w:t>
      </w:r>
    </w:p>
    <w:p w14:paraId="44C932D0">
      <w:pPr>
        <w:widowControl/>
        <w:spacing w:line="360" w:lineRule="auto"/>
        <w:jc w:val="left"/>
        <w:rPr>
          <w:rFonts w:ascii="仿宋" w:hAnsi="仿宋" w:eastAsia="仿宋" w:cs="仿宋"/>
          <w:sz w:val="24"/>
          <w:szCs w:val="24"/>
        </w:rPr>
      </w:pPr>
      <w:r>
        <w:rPr>
          <w:rFonts w:hint="eastAsia" w:ascii="仿宋" w:hAnsi="仿宋" w:eastAsia="仿宋" w:cs="仿宋"/>
          <w:sz w:val="24"/>
          <w:szCs w:val="24"/>
        </w:rPr>
        <w:t>4 项目经理的注册会计师证书、履历及近3年负责国内上市公司的名单及签字情况（加盖公章扫描件）</w:t>
      </w:r>
    </w:p>
    <w:p w14:paraId="077649C2">
      <w:pPr>
        <w:widowControl/>
        <w:spacing w:line="360" w:lineRule="auto"/>
        <w:jc w:val="left"/>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、报价表</w:t>
      </w:r>
    </w:p>
    <w:p w14:paraId="580D5000">
      <w:pPr>
        <w:pStyle w:val="99"/>
        <w:spacing w:line="360" w:lineRule="auto"/>
        <w:rPr>
          <w:rFonts w:ascii="仿宋" w:hAnsi="仿宋" w:eastAsia="仿宋" w:cs="仿宋"/>
          <w:kern w:val="2"/>
          <w:szCs w:val="24"/>
          <w:lang w:val="en-US"/>
        </w:rPr>
      </w:pPr>
      <w:r>
        <w:rPr>
          <w:rFonts w:ascii="仿宋" w:hAnsi="仿宋" w:eastAsia="仿宋" w:cs="仿宋"/>
          <w:kern w:val="2"/>
          <w:szCs w:val="24"/>
          <w:lang w:val="en-US"/>
        </w:rPr>
        <w:t>6、</w:t>
      </w:r>
      <w:r>
        <w:rPr>
          <w:rFonts w:hint="eastAsia" w:ascii="仿宋" w:hAnsi="仿宋" w:eastAsia="仿宋" w:cs="仿宋"/>
          <w:kern w:val="2"/>
          <w:szCs w:val="24"/>
          <w:lang w:val="en-US"/>
        </w:rPr>
        <w:t>审计方案</w:t>
      </w:r>
    </w:p>
    <w:p w14:paraId="71505179">
      <w:pPr>
        <w:pStyle w:val="99"/>
        <w:spacing w:line="360" w:lineRule="auto"/>
        <w:rPr>
          <w:rFonts w:ascii="仿宋" w:hAnsi="仿宋" w:eastAsia="仿宋" w:cs="仿宋"/>
          <w:kern w:val="2"/>
          <w:szCs w:val="24"/>
          <w:lang w:val="en-US"/>
        </w:rPr>
      </w:pPr>
      <w:r>
        <w:rPr>
          <w:rFonts w:ascii="仿宋" w:hAnsi="仿宋" w:eastAsia="仿宋" w:cs="仿宋"/>
          <w:kern w:val="2"/>
          <w:szCs w:val="24"/>
          <w:lang w:val="en-US"/>
        </w:rPr>
        <w:t>7</w:t>
      </w:r>
      <w:r>
        <w:rPr>
          <w:rFonts w:hint="eastAsia" w:ascii="仿宋" w:hAnsi="仿宋" w:eastAsia="仿宋" w:cs="仿宋"/>
          <w:kern w:val="2"/>
          <w:szCs w:val="24"/>
          <w:lang w:val="en-US"/>
        </w:rPr>
        <w:t>、审计质量控制制度和控制方案</w:t>
      </w:r>
    </w:p>
    <w:p w14:paraId="66E5685E">
      <w:pPr>
        <w:pStyle w:val="99"/>
        <w:spacing w:line="360" w:lineRule="auto"/>
        <w:rPr>
          <w:rFonts w:ascii="仿宋" w:hAnsi="仿宋" w:eastAsia="仿宋" w:cs="仿宋"/>
          <w:kern w:val="2"/>
          <w:szCs w:val="24"/>
          <w:lang w:val="en-US"/>
        </w:rPr>
      </w:pPr>
      <w:r>
        <w:rPr>
          <w:rFonts w:ascii="仿宋" w:hAnsi="仿宋" w:eastAsia="仿宋" w:cs="仿宋"/>
          <w:kern w:val="2"/>
          <w:szCs w:val="24"/>
          <w:lang w:val="en-US"/>
        </w:rPr>
        <w:t>8</w:t>
      </w:r>
      <w:r>
        <w:rPr>
          <w:rFonts w:hint="eastAsia" w:ascii="仿宋" w:hAnsi="仿宋" w:eastAsia="仿宋" w:cs="仿宋"/>
          <w:kern w:val="2"/>
          <w:szCs w:val="24"/>
          <w:lang w:val="en-US"/>
        </w:rPr>
        <w:t>、报价人认为应提供的其它材料</w:t>
      </w:r>
    </w:p>
    <w:bookmarkEnd w:id="0"/>
    <w:p w14:paraId="2C57857A">
      <w:pPr>
        <w:spacing w:line="360" w:lineRule="auto"/>
        <w:rPr>
          <w:rFonts w:ascii="仿宋" w:hAnsi="仿宋" w:eastAsia="仿宋" w:cs="仿宋"/>
          <w:sz w:val="24"/>
          <w:szCs w:val="24"/>
        </w:rPr>
      </w:pPr>
      <w:r>
        <w:rPr>
          <w:rFonts w:hint="eastAsia" w:ascii="仿宋" w:hAnsi="仿宋" w:eastAsia="仿宋" w:cs="仿宋"/>
          <w:sz w:val="24"/>
          <w:szCs w:val="24"/>
        </w:rPr>
        <w:t>八、确定审计单位</w:t>
      </w:r>
    </w:p>
    <w:p w14:paraId="3ADAA3FD">
      <w:pPr>
        <w:spacing w:line="360" w:lineRule="auto"/>
        <w:rPr>
          <w:rFonts w:ascii="仿宋" w:hAnsi="仿宋" w:eastAsia="仿宋" w:cs="仿宋"/>
          <w:sz w:val="24"/>
          <w:szCs w:val="24"/>
        </w:rPr>
      </w:pPr>
      <w:r>
        <w:rPr>
          <w:rFonts w:hint="eastAsia" w:ascii="仿宋" w:hAnsi="仿宋" w:eastAsia="仿宋" w:cs="仿宋"/>
          <w:sz w:val="24"/>
          <w:szCs w:val="24"/>
        </w:rPr>
        <w:t>公司内部制定评分标准，组织评定确定审计单位。</w:t>
      </w:r>
    </w:p>
    <w:p w14:paraId="60639311">
      <w:pPr>
        <w:spacing w:line="360" w:lineRule="auto"/>
        <w:rPr>
          <w:rFonts w:ascii="仿宋" w:hAnsi="仿宋" w:eastAsia="仿宋" w:cs="仿宋"/>
          <w:sz w:val="24"/>
          <w:szCs w:val="24"/>
        </w:rPr>
      </w:pPr>
    </w:p>
    <w:p w14:paraId="515E2C4E">
      <w:pPr>
        <w:spacing w:line="360" w:lineRule="auto"/>
        <w:rPr>
          <w:rFonts w:ascii="仿宋" w:hAnsi="仿宋" w:eastAsia="仿宋" w:cs="仿宋"/>
          <w:sz w:val="24"/>
          <w:szCs w:val="24"/>
        </w:rPr>
      </w:pPr>
      <w:r>
        <w:rPr>
          <w:rFonts w:hint="eastAsia" w:ascii="仿宋" w:hAnsi="仿宋" w:eastAsia="仿宋" w:cs="仿宋"/>
          <w:sz w:val="24"/>
          <w:szCs w:val="24"/>
        </w:rPr>
        <w:t xml:space="preserve"> </w:t>
      </w:r>
      <w:r>
        <w:rPr>
          <w:rFonts w:ascii="仿宋" w:hAnsi="仿宋" w:eastAsia="仿宋" w:cs="仿宋"/>
          <w:sz w:val="24"/>
          <w:szCs w:val="24"/>
        </w:rPr>
        <w:t xml:space="preserve">                                               </w:t>
      </w:r>
      <w:r>
        <w:rPr>
          <w:rFonts w:hint="eastAsia" w:ascii="仿宋" w:hAnsi="仿宋" w:eastAsia="仿宋" w:cs="仿宋"/>
          <w:sz w:val="24"/>
          <w:szCs w:val="24"/>
        </w:rPr>
        <w:t>广东华特气体股份有限公司</w:t>
      </w:r>
    </w:p>
    <w:p w14:paraId="3E6073CA">
      <w:pPr>
        <w:spacing w:line="360" w:lineRule="auto"/>
        <w:rPr>
          <w:rFonts w:ascii="仿宋" w:hAnsi="仿宋" w:eastAsia="仿宋" w:cs="仿宋"/>
          <w:sz w:val="24"/>
          <w:szCs w:val="24"/>
          <w:highlight w:val="none"/>
        </w:rPr>
      </w:pPr>
      <w:r>
        <w:rPr>
          <w:rFonts w:hint="eastAsia" w:ascii="仿宋" w:hAnsi="仿宋" w:eastAsia="仿宋" w:cs="仿宋"/>
          <w:sz w:val="24"/>
          <w:szCs w:val="24"/>
        </w:rPr>
        <w:t xml:space="preserve"> </w:t>
      </w:r>
      <w:r>
        <w:rPr>
          <w:rFonts w:ascii="仿宋" w:hAnsi="仿宋" w:eastAsia="仿宋" w:cs="仿宋"/>
          <w:sz w:val="24"/>
          <w:szCs w:val="24"/>
        </w:rPr>
        <w:t xml:space="preserve">                                          </w:t>
      </w:r>
      <w:r>
        <w:rPr>
          <w:rFonts w:ascii="仿宋" w:hAnsi="仿宋" w:eastAsia="仿宋" w:cs="仿宋"/>
          <w:sz w:val="24"/>
          <w:szCs w:val="24"/>
          <w:highlight w:val="none"/>
        </w:rPr>
        <w:t xml:space="preserve">          202</w:t>
      </w: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年</w:t>
      </w:r>
      <w:r>
        <w:rPr>
          <w:rFonts w:hint="eastAsia" w:ascii="仿宋" w:hAnsi="仿宋" w:eastAsia="仿宋" w:cs="仿宋"/>
          <w:sz w:val="24"/>
          <w:szCs w:val="24"/>
          <w:highlight w:val="none"/>
          <w:lang w:val="en-US" w:eastAsia="zh-CN"/>
        </w:rPr>
        <w:t>9</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13</w:t>
      </w:r>
      <w:r>
        <w:rPr>
          <w:rFonts w:hint="eastAsia" w:ascii="仿宋" w:hAnsi="仿宋" w:eastAsia="仿宋" w:cs="仿宋"/>
          <w:sz w:val="24"/>
          <w:szCs w:val="24"/>
          <w:highlight w:val="none"/>
        </w:rPr>
        <w:t>日</w:t>
      </w:r>
    </w:p>
    <w:p w14:paraId="3107C946">
      <w:bookmarkStart w:id="3" w:name="_GoBack"/>
      <w:bookmarkEnd w:id="3"/>
    </w:p>
    <w:p w14:paraId="1A3ED406"/>
    <w:p w14:paraId="1F424B7F">
      <w:pPr>
        <w:adjustRightInd w:val="0"/>
        <w:snapToGrid w:val="0"/>
        <w:spacing w:line="500" w:lineRule="exact"/>
        <w:rPr>
          <w:rFonts w:cs="仿宋" w:asciiTheme="minorEastAsia" w:hAnsiTheme="minorEastAsia" w:eastAsiaTheme="minorEastAsia"/>
          <w:sz w:val="24"/>
          <w:szCs w:val="24"/>
          <w:u w:val="single"/>
        </w:rPr>
        <w:sectPr>
          <w:footerReference r:id="rId3" w:type="default"/>
          <w:pgSz w:w="11905" w:h="16838"/>
          <w:pgMar w:top="1440" w:right="1123" w:bottom="1440" w:left="1123" w:header="720" w:footer="720" w:gutter="0"/>
          <w:cols w:space="0" w:num="1"/>
          <w:docGrid w:linePitch="286" w:charSpace="0"/>
        </w:sectPr>
      </w:pPr>
    </w:p>
    <w:p w14:paraId="44C66931">
      <w:pPr>
        <w:pStyle w:val="6"/>
        <w:snapToGrid w:val="0"/>
        <w:spacing w:line="360" w:lineRule="auto"/>
        <w:ind w:firstLine="0" w:firstLineChars="0"/>
        <w:rPr>
          <w:spacing w:val="10"/>
        </w:rPr>
      </w:pPr>
    </w:p>
    <w:p w14:paraId="218E7D0F">
      <w:pPr>
        <w:pStyle w:val="99"/>
      </w:pPr>
      <w:bookmarkStart w:id="1" w:name="_Toc136523148"/>
      <w:r>
        <w:t>5</w:t>
      </w:r>
      <w:r>
        <w:rPr>
          <w:rFonts w:hint="eastAsia"/>
        </w:rPr>
        <w:t>、报价表</w:t>
      </w:r>
      <w:bookmarkEnd w:id="1"/>
    </w:p>
    <w:p w14:paraId="5EC46FB8">
      <w:pPr>
        <w:spacing w:line="360" w:lineRule="auto"/>
        <w:jc w:val="left"/>
        <w:rPr>
          <w:rFonts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w:t>
      </w:r>
      <w:r>
        <w:rPr>
          <w:rFonts w:ascii="仿宋" w:hAnsi="仿宋" w:eastAsia="仿宋" w:cs="仿宋"/>
          <w:sz w:val="24"/>
          <w:szCs w:val="24"/>
        </w:rPr>
        <w:t>1</w:t>
      </w:r>
      <w:r>
        <w:rPr>
          <w:rFonts w:hint="eastAsia" w:ascii="仿宋" w:hAnsi="仿宋" w:eastAsia="仿宋" w:cs="仿宋"/>
          <w:sz w:val="24"/>
          <w:szCs w:val="24"/>
        </w:rPr>
        <w:t>、总表</w:t>
      </w:r>
    </w:p>
    <w:tbl>
      <w:tblPr>
        <w:tblStyle w:val="24"/>
        <w:tblW w:w="1053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817"/>
        <w:gridCol w:w="2022"/>
        <w:gridCol w:w="1683"/>
        <w:gridCol w:w="1456"/>
        <w:gridCol w:w="1323"/>
        <w:gridCol w:w="1191"/>
        <w:gridCol w:w="1041"/>
      </w:tblGrid>
      <w:tr w14:paraId="05B69D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78" w:hRule="atLeast"/>
          <w:jc w:val="center"/>
        </w:trPr>
        <w:tc>
          <w:tcPr>
            <w:tcW w:w="1817" w:type="dxa"/>
            <w:vAlign w:val="center"/>
          </w:tcPr>
          <w:p w14:paraId="19707B88">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报价人名称</w:t>
            </w:r>
          </w:p>
        </w:tc>
        <w:tc>
          <w:tcPr>
            <w:tcW w:w="2022" w:type="dxa"/>
            <w:vAlign w:val="center"/>
          </w:tcPr>
          <w:p w14:paraId="03D6F11B">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项目名称</w:t>
            </w:r>
          </w:p>
        </w:tc>
        <w:tc>
          <w:tcPr>
            <w:tcW w:w="1683" w:type="dxa"/>
            <w:vAlign w:val="center"/>
          </w:tcPr>
          <w:p w14:paraId="61D81882">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报价（含增值税专用发票）</w:t>
            </w:r>
          </w:p>
        </w:tc>
        <w:tc>
          <w:tcPr>
            <w:tcW w:w="1456" w:type="dxa"/>
            <w:vAlign w:val="center"/>
          </w:tcPr>
          <w:p w14:paraId="0D7ED94D">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报价</w:t>
            </w:r>
          </w:p>
          <w:p w14:paraId="2359DD40">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声明</w:t>
            </w:r>
          </w:p>
        </w:tc>
        <w:tc>
          <w:tcPr>
            <w:tcW w:w="1323" w:type="dxa"/>
            <w:vAlign w:val="center"/>
          </w:tcPr>
          <w:p w14:paraId="48E3F758">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服务期</w:t>
            </w:r>
          </w:p>
        </w:tc>
        <w:tc>
          <w:tcPr>
            <w:tcW w:w="1191" w:type="dxa"/>
            <w:vAlign w:val="center"/>
          </w:tcPr>
          <w:p w14:paraId="47E65A37">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服务地点</w:t>
            </w:r>
          </w:p>
        </w:tc>
        <w:tc>
          <w:tcPr>
            <w:tcW w:w="1041" w:type="dxa"/>
            <w:vAlign w:val="center"/>
          </w:tcPr>
          <w:p w14:paraId="4CDB3D83">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备注</w:t>
            </w:r>
          </w:p>
        </w:tc>
      </w:tr>
      <w:tr w14:paraId="7EB0EE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817" w:type="dxa"/>
            <w:vAlign w:val="center"/>
          </w:tcPr>
          <w:p w14:paraId="02BB57D7">
            <w:pPr>
              <w:spacing w:line="276" w:lineRule="auto"/>
              <w:jc w:val="center"/>
              <w:rPr>
                <w:rFonts w:ascii="宋体" w:hAnsi="宋体"/>
                <w:color w:val="000000" w:themeColor="text1"/>
                <w:sz w:val="24"/>
                <w14:textFill>
                  <w14:solidFill>
                    <w14:schemeClr w14:val="tx1"/>
                  </w14:solidFill>
                </w14:textFill>
              </w:rPr>
            </w:pPr>
          </w:p>
        </w:tc>
        <w:tc>
          <w:tcPr>
            <w:tcW w:w="2022" w:type="dxa"/>
            <w:vAlign w:val="center"/>
          </w:tcPr>
          <w:p w14:paraId="13068193">
            <w:pPr>
              <w:spacing w:line="276" w:lineRule="auto"/>
              <w:ind w:firstLine="120" w:firstLineChars="50"/>
              <w:jc w:val="center"/>
              <w:rPr>
                <w:rFonts w:ascii="宋体" w:hAnsi="宋体"/>
                <w:color w:val="000000" w:themeColor="text1"/>
                <w:sz w:val="24"/>
                <w14:textFill>
                  <w14:solidFill>
                    <w14:schemeClr w14:val="tx1"/>
                  </w14:solidFill>
                </w14:textFill>
              </w:rPr>
            </w:pPr>
          </w:p>
        </w:tc>
        <w:tc>
          <w:tcPr>
            <w:tcW w:w="1683" w:type="dxa"/>
            <w:vAlign w:val="center"/>
          </w:tcPr>
          <w:p w14:paraId="7CC06C58">
            <w:pPr>
              <w:pStyle w:val="9"/>
            </w:pPr>
          </w:p>
        </w:tc>
        <w:tc>
          <w:tcPr>
            <w:tcW w:w="1456" w:type="dxa"/>
            <w:vAlign w:val="center"/>
          </w:tcPr>
          <w:p w14:paraId="07A14D5F">
            <w:pPr>
              <w:spacing w:line="276" w:lineRule="auto"/>
              <w:jc w:val="center"/>
              <w:rPr>
                <w:rFonts w:ascii="宋体" w:hAnsi="宋体"/>
                <w:color w:val="000000" w:themeColor="text1"/>
                <w:sz w:val="24"/>
                <w14:textFill>
                  <w14:solidFill>
                    <w14:schemeClr w14:val="tx1"/>
                  </w14:solidFill>
                </w14:textFill>
              </w:rPr>
            </w:pPr>
          </w:p>
        </w:tc>
        <w:tc>
          <w:tcPr>
            <w:tcW w:w="1323" w:type="dxa"/>
            <w:vAlign w:val="center"/>
          </w:tcPr>
          <w:p w14:paraId="542373EF">
            <w:pPr>
              <w:spacing w:line="276" w:lineRule="auto"/>
              <w:jc w:val="center"/>
              <w:rPr>
                <w:rFonts w:ascii="宋体" w:hAnsi="宋体"/>
                <w:color w:val="000000" w:themeColor="text1"/>
                <w:sz w:val="24"/>
                <w14:textFill>
                  <w14:solidFill>
                    <w14:schemeClr w14:val="tx1"/>
                  </w14:solidFill>
                </w14:textFill>
              </w:rPr>
            </w:pPr>
          </w:p>
        </w:tc>
        <w:tc>
          <w:tcPr>
            <w:tcW w:w="1191" w:type="dxa"/>
            <w:vAlign w:val="center"/>
          </w:tcPr>
          <w:p w14:paraId="16391853">
            <w:pPr>
              <w:spacing w:line="276" w:lineRule="auto"/>
              <w:jc w:val="center"/>
              <w:rPr>
                <w:rFonts w:ascii="宋体" w:hAnsi="宋体"/>
                <w:color w:val="000000" w:themeColor="text1"/>
                <w:sz w:val="24"/>
                <w14:textFill>
                  <w14:solidFill>
                    <w14:schemeClr w14:val="tx1"/>
                  </w14:solidFill>
                </w14:textFill>
              </w:rPr>
            </w:pPr>
          </w:p>
        </w:tc>
        <w:tc>
          <w:tcPr>
            <w:tcW w:w="1041" w:type="dxa"/>
            <w:vAlign w:val="center"/>
          </w:tcPr>
          <w:p w14:paraId="08194EFA">
            <w:pPr>
              <w:spacing w:line="276" w:lineRule="auto"/>
              <w:jc w:val="left"/>
              <w:rPr>
                <w:rFonts w:ascii="宋体" w:hAnsi="宋体"/>
                <w:color w:val="000000" w:themeColor="text1"/>
                <w:sz w:val="28"/>
                <w14:textFill>
                  <w14:solidFill>
                    <w14:schemeClr w14:val="tx1"/>
                  </w14:solidFill>
                </w14:textFill>
              </w:rPr>
            </w:pPr>
            <w:r>
              <w:rPr>
                <w:rFonts w:hint="eastAsia" w:ascii="宋体" w:hAnsi="宋体"/>
                <w:color w:val="000000" w:themeColor="text1"/>
                <w:sz w:val="24"/>
                <w14:textFill>
                  <w14:solidFill>
                    <w14:schemeClr w14:val="tx1"/>
                  </w14:solidFill>
                </w14:textFill>
              </w:rPr>
              <w:t>税率：</w:t>
            </w:r>
          </w:p>
        </w:tc>
      </w:tr>
      <w:tr w14:paraId="494765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817" w:type="dxa"/>
            <w:vAlign w:val="center"/>
          </w:tcPr>
          <w:p w14:paraId="54866B52">
            <w:pPr>
              <w:spacing w:line="460" w:lineRule="exact"/>
              <w:jc w:val="left"/>
              <w:rPr>
                <w:rFonts w:ascii="宋体" w:hAnsi="宋体"/>
                <w:b/>
                <w:bCs/>
                <w:sz w:val="22"/>
              </w:rPr>
            </w:pPr>
            <w:r>
              <w:rPr>
                <w:rFonts w:hint="eastAsia" w:ascii="宋体" w:hAnsi="宋体"/>
                <w:b/>
                <w:bCs/>
                <w:sz w:val="22"/>
              </w:rPr>
              <w:t>报价总报价（含税价）</w:t>
            </w:r>
          </w:p>
        </w:tc>
        <w:tc>
          <w:tcPr>
            <w:tcW w:w="8716" w:type="dxa"/>
            <w:gridSpan w:val="6"/>
            <w:vAlign w:val="center"/>
          </w:tcPr>
          <w:p w14:paraId="04BA83BB">
            <w:pPr>
              <w:spacing w:line="460" w:lineRule="exact"/>
              <w:jc w:val="left"/>
              <w:rPr>
                <w:rFonts w:ascii="宋体" w:hAnsi="宋体"/>
                <w:b/>
                <w:bCs/>
                <w:sz w:val="22"/>
              </w:rPr>
            </w:pPr>
            <w:r>
              <w:rPr>
                <w:rFonts w:hint="eastAsia" w:ascii="宋体" w:hAnsi="宋体"/>
                <w:b/>
                <w:bCs/>
                <w:sz w:val="22"/>
              </w:rPr>
              <w:t>大写：</w:t>
            </w:r>
            <w:r>
              <w:rPr>
                <w:rFonts w:hint="eastAsia" w:ascii="宋体" w:hAnsi="宋体"/>
                <w:b/>
                <w:bCs/>
                <w:sz w:val="22"/>
                <w:u w:val="single"/>
              </w:rPr>
              <w:t xml:space="preserve">                 </w:t>
            </w:r>
            <w:r>
              <w:rPr>
                <w:rFonts w:hint="eastAsia" w:ascii="宋体" w:hAnsi="宋体"/>
                <w:b/>
                <w:bCs/>
                <w:sz w:val="22"/>
              </w:rPr>
              <w:t>；</w:t>
            </w:r>
          </w:p>
          <w:p w14:paraId="62377AC7">
            <w:pPr>
              <w:spacing w:line="276" w:lineRule="auto"/>
              <w:jc w:val="left"/>
              <w:rPr>
                <w:rFonts w:ascii="宋体" w:hAnsi="宋体"/>
                <w:b/>
                <w:bCs/>
                <w:sz w:val="22"/>
              </w:rPr>
            </w:pPr>
            <w:r>
              <w:rPr>
                <w:rFonts w:hint="eastAsia" w:ascii="宋体" w:hAnsi="宋体"/>
                <w:b/>
                <w:bCs/>
                <w:sz w:val="22"/>
              </w:rPr>
              <w:t xml:space="preserve">小写：（¥ </w:t>
            </w:r>
            <w:r>
              <w:rPr>
                <w:rFonts w:hint="eastAsia" w:ascii="宋体" w:hAnsi="宋体"/>
                <w:b/>
                <w:bCs/>
                <w:sz w:val="22"/>
                <w:u w:val="single"/>
              </w:rPr>
              <w:t xml:space="preserve">                   元/年 </w:t>
            </w:r>
            <w:r>
              <w:rPr>
                <w:rFonts w:hint="eastAsia" w:ascii="宋体" w:hAnsi="宋体"/>
                <w:b/>
                <w:bCs/>
                <w:sz w:val="22"/>
              </w:rPr>
              <w:t>）</w:t>
            </w:r>
          </w:p>
          <w:p w14:paraId="7CD465A2">
            <w:pPr>
              <w:spacing w:line="276" w:lineRule="auto"/>
              <w:jc w:val="left"/>
              <w:rPr>
                <w:rFonts w:ascii="宋体" w:hAnsi="宋体"/>
                <w:b/>
                <w:bCs/>
                <w:sz w:val="22"/>
              </w:rPr>
            </w:pPr>
            <w:r>
              <w:rPr>
                <w:rFonts w:hint="eastAsia" w:ascii="宋体" w:hAnsi="宋体"/>
                <w:b/>
                <w:bCs/>
                <w:sz w:val="22"/>
              </w:rPr>
              <w:t>注：</w:t>
            </w:r>
            <w:r>
              <w:rPr>
                <w:rFonts w:hint="eastAsia" w:ascii="宋体" w:hAnsi="宋体"/>
                <w:sz w:val="24"/>
              </w:rPr>
              <w:t>在聘期内，若采购人企业资产规模、业务规模未发生重大变化或国家对上市公司信息披露无相关政策性变化，报价有效期暂定五年，如有变化双方另行协商。</w:t>
            </w:r>
          </w:p>
        </w:tc>
      </w:tr>
    </w:tbl>
    <w:p w14:paraId="5072F71E"/>
    <w:p w14:paraId="35A599CF"/>
    <w:p w14:paraId="3118DF56"/>
    <w:p w14:paraId="031C050C"/>
    <w:p w14:paraId="421A3F1C">
      <w:pPr>
        <w:spacing w:line="360" w:lineRule="auto"/>
        <w:ind w:right="210"/>
        <w:jc w:val="left"/>
        <w:rPr>
          <w:b/>
          <w:bCs/>
          <w:sz w:val="24"/>
        </w:rPr>
      </w:pPr>
    </w:p>
    <w:p w14:paraId="48D57EF4">
      <w:pPr>
        <w:spacing w:line="460" w:lineRule="exact"/>
        <w:ind w:left="945" w:hanging="945"/>
        <w:rPr>
          <w:rFonts w:ascii="宋体" w:hAnsi="宋体"/>
          <w:b/>
        </w:rPr>
      </w:pPr>
    </w:p>
    <w:p w14:paraId="75840AA1">
      <w:pPr>
        <w:spacing w:line="460" w:lineRule="exact"/>
        <w:ind w:left="945" w:hanging="945"/>
        <w:rPr>
          <w:rFonts w:ascii="宋体" w:hAnsi="宋体"/>
          <w:b/>
        </w:rPr>
      </w:pPr>
    </w:p>
    <w:p w14:paraId="274FB453">
      <w:pPr>
        <w:spacing w:line="460" w:lineRule="exact"/>
        <w:ind w:left="945" w:hanging="945"/>
        <w:rPr>
          <w:rFonts w:ascii="宋体" w:hAnsi="宋体"/>
          <w:b/>
        </w:rPr>
      </w:pPr>
    </w:p>
    <w:p w14:paraId="121F6987">
      <w:pPr>
        <w:spacing w:line="600" w:lineRule="auto"/>
        <w:ind w:left="945" w:hanging="945"/>
        <w:rPr>
          <w:rFonts w:ascii="宋体" w:hAnsi="宋体"/>
        </w:rPr>
      </w:pPr>
      <w:r>
        <w:rPr>
          <w:rFonts w:hint="eastAsia" w:ascii="宋体" w:hAnsi="宋体"/>
        </w:rPr>
        <w:t>报价人：（盖章）</w:t>
      </w:r>
    </w:p>
    <w:p w14:paraId="76A279CE">
      <w:pPr>
        <w:spacing w:line="600" w:lineRule="auto"/>
        <w:ind w:left="945" w:hanging="945"/>
        <w:rPr>
          <w:rFonts w:ascii="宋体" w:hAnsi="宋体"/>
        </w:rPr>
      </w:pPr>
      <w:r>
        <w:rPr>
          <w:rFonts w:hint="eastAsia" w:ascii="宋体" w:hAnsi="宋体"/>
        </w:rPr>
        <w:t>执行事务合伙人或委托代理人：（签字或盖个人章）</w:t>
      </w:r>
    </w:p>
    <w:p w14:paraId="1A684459">
      <w:pPr>
        <w:spacing w:line="600" w:lineRule="auto"/>
        <w:ind w:left="945" w:hanging="945"/>
        <w:rPr>
          <w:rFonts w:ascii="宋体" w:hAnsi="宋体"/>
        </w:rPr>
      </w:pPr>
      <w:r>
        <w:rPr>
          <w:rFonts w:hint="eastAsia" w:ascii="宋体" w:hAnsi="宋体"/>
        </w:rPr>
        <w:t>日期:    年    月    日</w:t>
      </w:r>
    </w:p>
    <w:p w14:paraId="7C99A9EB">
      <w:pPr>
        <w:spacing w:line="460" w:lineRule="exact"/>
        <w:ind w:left="945" w:hanging="945"/>
        <w:rPr>
          <w:rFonts w:cs="仿宋" w:asciiTheme="minorEastAsia" w:hAnsiTheme="minorEastAsia" w:eastAsiaTheme="minorEastAsia"/>
          <w:sz w:val="24"/>
          <w:szCs w:val="24"/>
        </w:rPr>
      </w:pPr>
    </w:p>
    <w:p w14:paraId="1D1E33BD">
      <w:pPr>
        <w:widowControl/>
        <w:jc w:val="left"/>
        <w:rPr>
          <w:rFonts w:cs="仿宋" w:asciiTheme="minorEastAsia" w:hAnsiTheme="minorEastAsia" w:eastAsiaTheme="minorEastAsia"/>
          <w:sz w:val="24"/>
          <w:szCs w:val="24"/>
        </w:rPr>
      </w:pPr>
      <w:r>
        <w:rPr>
          <w:rFonts w:cs="仿宋" w:asciiTheme="minorEastAsia" w:hAnsiTheme="minorEastAsia" w:eastAsiaTheme="minorEastAsia"/>
          <w:sz w:val="24"/>
          <w:szCs w:val="24"/>
        </w:rPr>
        <w:br w:type="page"/>
      </w:r>
    </w:p>
    <w:p w14:paraId="4A669D60">
      <w:pPr>
        <w:pStyle w:val="99"/>
      </w:pPr>
      <w:bookmarkStart w:id="2" w:name="_Toc136523149"/>
      <w:r>
        <w:t>5</w:t>
      </w:r>
      <w:r>
        <w:rPr>
          <w:rFonts w:hint="eastAsia"/>
        </w:rPr>
        <w:t>.</w:t>
      </w:r>
      <w:r>
        <w:t>2、</w:t>
      </w:r>
      <w:r>
        <w:rPr>
          <w:rFonts w:hint="eastAsia"/>
        </w:rPr>
        <w:t>报价分项报价表</w:t>
      </w:r>
      <w:bookmarkEnd w:id="2"/>
    </w:p>
    <w:p w14:paraId="6400726B">
      <w:pPr>
        <w:spacing w:line="460" w:lineRule="exact"/>
        <w:ind w:left="945" w:hanging="945"/>
        <w:rPr>
          <w:rFonts w:cs="仿宋" w:asciiTheme="minorEastAsia" w:hAnsiTheme="minorEastAsia" w:eastAsiaTheme="minorEastAsia"/>
          <w:sz w:val="24"/>
          <w:szCs w:val="24"/>
        </w:rPr>
      </w:pPr>
    </w:p>
    <w:p w14:paraId="383A4649">
      <w:pPr>
        <w:spacing w:line="360" w:lineRule="auto"/>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报价人名称：</w:t>
      </w:r>
      <w:r>
        <w:rPr>
          <w:rFonts w:ascii="宋体" w:hAnsi="宋体"/>
          <w:color w:val="000000" w:themeColor="text1"/>
          <w:sz w:val="24"/>
          <w14:textFill>
            <w14:solidFill>
              <w14:schemeClr w14:val="tx1"/>
            </w14:solidFill>
          </w14:textFill>
        </w:rPr>
        <w:t xml:space="preserve">                                                  </w:t>
      </w:r>
    </w:p>
    <w:tbl>
      <w:tblPr>
        <w:tblStyle w:val="24"/>
        <w:tblW w:w="102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2013"/>
        <w:gridCol w:w="1808"/>
        <w:gridCol w:w="1337"/>
        <w:gridCol w:w="1739"/>
        <w:gridCol w:w="2608"/>
      </w:tblGrid>
      <w:tr w14:paraId="6937D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774" w:type="dxa"/>
            <w:vAlign w:val="center"/>
          </w:tcPr>
          <w:p w14:paraId="462FFB2C">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序号</w:t>
            </w:r>
          </w:p>
        </w:tc>
        <w:tc>
          <w:tcPr>
            <w:tcW w:w="2013" w:type="dxa"/>
            <w:vAlign w:val="center"/>
          </w:tcPr>
          <w:p w14:paraId="2AF154B6">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分项内容</w:t>
            </w:r>
          </w:p>
        </w:tc>
        <w:tc>
          <w:tcPr>
            <w:tcW w:w="1808" w:type="dxa"/>
            <w:vAlign w:val="center"/>
          </w:tcPr>
          <w:p w14:paraId="2861564C">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数量</w:t>
            </w:r>
          </w:p>
        </w:tc>
        <w:tc>
          <w:tcPr>
            <w:tcW w:w="1337" w:type="dxa"/>
            <w:vAlign w:val="center"/>
          </w:tcPr>
          <w:p w14:paraId="7D6AA8E0">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单价</w:t>
            </w:r>
          </w:p>
        </w:tc>
        <w:tc>
          <w:tcPr>
            <w:tcW w:w="1739" w:type="dxa"/>
            <w:vAlign w:val="center"/>
          </w:tcPr>
          <w:p w14:paraId="47E83EB4">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小计（元）</w:t>
            </w:r>
          </w:p>
        </w:tc>
        <w:tc>
          <w:tcPr>
            <w:tcW w:w="2607" w:type="dxa"/>
            <w:vAlign w:val="center"/>
          </w:tcPr>
          <w:p w14:paraId="111F45EF">
            <w:pPr>
              <w:spacing w:line="276" w:lineRule="auto"/>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备注</w:t>
            </w:r>
          </w:p>
        </w:tc>
      </w:tr>
      <w:tr w14:paraId="220B3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74" w:type="dxa"/>
            <w:vAlign w:val="center"/>
          </w:tcPr>
          <w:p w14:paraId="159DFEB3">
            <w:pPr>
              <w:spacing w:line="276" w:lineRule="auto"/>
              <w:jc w:val="center"/>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t>1</w:t>
            </w:r>
          </w:p>
        </w:tc>
        <w:tc>
          <w:tcPr>
            <w:tcW w:w="2013" w:type="dxa"/>
            <w:vAlign w:val="center"/>
          </w:tcPr>
          <w:p w14:paraId="015D837C">
            <w:pPr>
              <w:spacing w:line="276" w:lineRule="auto"/>
              <w:jc w:val="center"/>
              <w:rPr>
                <w:rFonts w:ascii="宋体" w:hAnsi="宋体"/>
                <w:color w:val="000000" w:themeColor="text1"/>
                <w:sz w:val="28"/>
                <w14:textFill>
                  <w14:solidFill>
                    <w14:schemeClr w14:val="tx1"/>
                  </w14:solidFill>
                </w14:textFill>
              </w:rPr>
            </w:pPr>
          </w:p>
        </w:tc>
        <w:tc>
          <w:tcPr>
            <w:tcW w:w="1808" w:type="dxa"/>
            <w:vAlign w:val="center"/>
          </w:tcPr>
          <w:p w14:paraId="48276B1C">
            <w:pPr>
              <w:spacing w:line="276" w:lineRule="auto"/>
              <w:jc w:val="center"/>
              <w:rPr>
                <w:rFonts w:ascii="宋体" w:hAnsi="宋体"/>
                <w:color w:val="000000" w:themeColor="text1"/>
                <w:sz w:val="28"/>
                <w14:textFill>
                  <w14:solidFill>
                    <w14:schemeClr w14:val="tx1"/>
                  </w14:solidFill>
                </w14:textFill>
              </w:rPr>
            </w:pPr>
          </w:p>
        </w:tc>
        <w:tc>
          <w:tcPr>
            <w:tcW w:w="1337" w:type="dxa"/>
            <w:vAlign w:val="center"/>
          </w:tcPr>
          <w:p w14:paraId="28CF7CAA">
            <w:pPr>
              <w:spacing w:line="276" w:lineRule="auto"/>
              <w:jc w:val="center"/>
              <w:rPr>
                <w:rFonts w:ascii="宋体" w:hAnsi="宋体"/>
                <w:color w:val="000000" w:themeColor="text1"/>
                <w:sz w:val="28"/>
                <w14:textFill>
                  <w14:solidFill>
                    <w14:schemeClr w14:val="tx1"/>
                  </w14:solidFill>
                </w14:textFill>
              </w:rPr>
            </w:pPr>
          </w:p>
        </w:tc>
        <w:tc>
          <w:tcPr>
            <w:tcW w:w="1739" w:type="dxa"/>
            <w:vAlign w:val="center"/>
          </w:tcPr>
          <w:p w14:paraId="4C3DFD4A">
            <w:pPr>
              <w:spacing w:line="276" w:lineRule="auto"/>
              <w:jc w:val="center"/>
              <w:rPr>
                <w:rFonts w:ascii="宋体" w:hAnsi="宋体"/>
                <w:color w:val="000000" w:themeColor="text1"/>
                <w:sz w:val="28"/>
                <w14:textFill>
                  <w14:solidFill>
                    <w14:schemeClr w14:val="tx1"/>
                  </w14:solidFill>
                </w14:textFill>
              </w:rPr>
            </w:pPr>
          </w:p>
        </w:tc>
        <w:tc>
          <w:tcPr>
            <w:tcW w:w="2607" w:type="dxa"/>
            <w:vAlign w:val="center"/>
          </w:tcPr>
          <w:p w14:paraId="35673A46">
            <w:pPr>
              <w:spacing w:line="276" w:lineRule="auto"/>
              <w:jc w:val="center"/>
              <w:rPr>
                <w:rFonts w:ascii="宋体" w:hAnsi="宋体"/>
                <w:color w:val="000000" w:themeColor="text1"/>
                <w:sz w:val="28"/>
                <w14:textFill>
                  <w14:solidFill>
                    <w14:schemeClr w14:val="tx1"/>
                  </w14:solidFill>
                </w14:textFill>
              </w:rPr>
            </w:pPr>
          </w:p>
        </w:tc>
      </w:tr>
      <w:tr w14:paraId="75879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74" w:type="dxa"/>
            <w:vAlign w:val="center"/>
          </w:tcPr>
          <w:p w14:paraId="26F8E6C6">
            <w:pPr>
              <w:spacing w:line="276" w:lineRule="auto"/>
              <w:jc w:val="center"/>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t>2</w:t>
            </w:r>
          </w:p>
        </w:tc>
        <w:tc>
          <w:tcPr>
            <w:tcW w:w="2013" w:type="dxa"/>
            <w:vAlign w:val="center"/>
          </w:tcPr>
          <w:p w14:paraId="2DD8CE72">
            <w:pPr>
              <w:spacing w:line="276" w:lineRule="auto"/>
              <w:jc w:val="center"/>
              <w:rPr>
                <w:rFonts w:ascii="宋体" w:hAnsi="宋体"/>
                <w:color w:val="000000" w:themeColor="text1"/>
                <w:sz w:val="28"/>
                <w14:textFill>
                  <w14:solidFill>
                    <w14:schemeClr w14:val="tx1"/>
                  </w14:solidFill>
                </w14:textFill>
              </w:rPr>
            </w:pPr>
          </w:p>
        </w:tc>
        <w:tc>
          <w:tcPr>
            <w:tcW w:w="1808" w:type="dxa"/>
            <w:vAlign w:val="center"/>
          </w:tcPr>
          <w:p w14:paraId="03363E9B">
            <w:pPr>
              <w:spacing w:line="276" w:lineRule="auto"/>
              <w:jc w:val="center"/>
              <w:rPr>
                <w:rFonts w:ascii="宋体" w:hAnsi="宋体"/>
                <w:color w:val="000000" w:themeColor="text1"/>
                <w:sz w:val="28"/>
                <w14:textFill>
                  <w14:solidFill>
                    <w14:schemeClr w14:val="tx1"/>
                  </w14:solidFill>
                </w14:textFill>
              </w:rPr>
            </w:pPr>
          </w:p>
        </w:tc>
        <w:tc>
          <w:tcPr>
            <w:tcW w:w="1337" w:type="dxa"/>
            <w:vAlign w:val="center"/>
          </w:tcPr>
          <w:p w14:paraId="65686A8E">
            <w:pPr>
              <w:spacing w:line="276" w:lineRule="auto"/>
              <w:jc w:val="center"/>
              <w:rPr>
                <w:rFonts w:ascii="宋体" w:hAnsi="宋体"/>
                <w:color w:val="000000" w:themeColor="text1"/>
                <w:sz w:val="28"/>
                <w14:textFill>
                  <w14:solidFill>
                    <w14:schemeClr w14:val="tx1"/>
                  </w14:solidFill>
                </w14:textFill>
              </w:rPr>
            </w:pPr>
          </w:p>
        </w:tc>
        <w:tc>
          <w:tcPr>
            <w:tcW w:w="1739" w:type="dxa"/>
            <w:vAlign w:val="center"/>
          </w:tcPr>
          <w:p w14:paraId="7A162BC1">
            <w:pPr>
              <w:spacing w:line="276" w:lineRule="auto"/>
              <w:jc w:val="center"/>
              <w:rPr>
                <w:rFonts w:ascii="宋体" w:hAnsi="宋体"/>
                <w:color w:val="000000" w:themeColor="text1"/>
                <w:sz w:val="28"/>
                <w14:textFill>
                  <w14:solidFill>
                    <w14:schemeClr w14:val="tx1"/>
                  </w14:solidFill>
                </w14:textFill>
              </w:rPr>
            </w:pPr>
          </w:p>
        </w:tc>
        <w:tc>
          <w:tcPr>
            <w:tcW w:w="2607" w:type="dxa"/>
            <w:vAlign w:val="center"/>
          </w:tcPr>
          <w:p w14:paraId="65F5B1AC">
            <w:pPr>
              <w:spacing w:line="276" w:lineRule="auto"/>
              <w:jc w:val="center"/>
              <w:rPr>
                <w:rFonts w:ascii="宋体" w:hAnsi="宋体"/>
                <w:color w:val="000000" w:themeColor="text1"/>
                <w:sz w:val="28"/>
                <w14:textFill>
                  <w14:solidFill>
                    <w14:schemeClr w14:val="tx1"/>
                  </w14:solidFill>
                </w14:textFill>
              </w:rPr>
            </w:pPr>
          </w:p>
        </w:tc>
      </w:tr>
      <w:tr w14:paraId="3BFF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74" w:type="dxa"/>
            <w:vAlign w:val="center"/>
          </w:tcPr>
          <w:p w14:paraId="489DBBB8">
            <w:pPr>
              <w:spacing w:line="276" w:lineRule="auto"/>
              <w:jc w:val="center"/>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t>3</w:t>
            </w:r>
          </w:p>
        </w:tc>
        <w:tc>
          <w:tcPr>
            <w:tcW w:w="2013" w:type="dxa"/>
            <w:vAlign w:val="center"/>
          </w:tcPr>
          <w:p w14:paraId="0C1888F4">
            <w:pPr>
              <w:spacing w:line="276" w:lineRule="auto"/>
              <w:jc w:val="center"/>
              <w:rPr>
                <w:rFonts w:ascii="宋体" w:hAnsi="宋体"/>
                <w:color w:val="000000" w:themeColor="text1"/>
                <w:sz w:val="28"/>
                <w14:textFill>
                  <w14:solidFill>
                    <w14:schemeClr w14:val="tx1"/>
                  </w14:solidFill>
                </w14:textFill>
              </w:rPr>
            </w:pPr>
          </w:p>
        </w:tc>
        <w:tc>
          <w:tcPr>
            <w:tcW w:w="1808" w:type="dxa"/>
            <w:vAlign w:val="center"/>
          </w:tcPr>
          <w:p w14:paraId="5C7EDEE3">
            <w:pPr>
              <w:spacing w:line="276" w:lineRule="auto"/>
              <w:jc w:val="center"/>
              <w:rPr>
                <w:rFonts w:ascii="宋体" w:hAnsi="宋体"/>
                <w:color w:val="000000" w:themeColor="text1"/>
                <w:sz w:val="28"/>
                <w14:textFill>
                  <w14:solidFill>
                    <w14:schemeClr w14:val="tx1"/>
                  </w14:solidFill>
                </w14:textFill>
              </w:rPr>
            </w:pPr>
          </w:p>
        </w:tc>
        <w:tc>
          <w:tcPr>
            <w:tcW w:w="1337" w:type="dxa"/>
            <w:vAlign w:val="center"/>
          </w:tcPr>
          <w:p w14:paraId="11769E10">
            <w:pPr>
              <w:spacing w:line="276" w:lineRule="auto"/>
              <w:jc w:val="center"/>
              <w:rPr>
                <w:rFonts w:ascii="宋体" w:hAnsi="宋体"/>
                <w:color w:val="000000" w:themeColor="text1"/>
                <w:sz w:val="28"/>
                <w14:textFill>
                  <w14:solidFill>
                    <w14:schemeClr w14:val="tx1"/>
                  </w14:solidFill>
                </w14:textFill>
              </w:rPr>
            </w:pPr>
          </w:p>
        </w:tc>
        <w:tc>
          <w:tcPr>
            <w:tcW w:w="1739" w:type="dxa"/>
            <w:vAlign w:val="center"/>
          </w:tcPr>
          <w:p w14:paraId="07132B47">
            <w:pPr>
              <w:spacing w:line="276" w:lineRule="auto"/>
              <w:jc w:val="center"/>
              <w:rPr>
                <w:rFonts w:ascii="宋体" w:hAnsi="宋体"/>
                <w:color w:val="000000" w:themeColor="text1"/>
                <w:sz w:val="28"/>
                <w14:textFill>
                  <w14:solidFill>
                    <w14:schemeClr w14:val="tx1"/>
                  </w14:solidFill>
                </w14:textFill>
              </w:rPr>
            </w:pPr>
          </w:p>
        </w:tc>
        <w:tc>
          <w:tcPr>
            <w:tcW w:w="2607" w:type="dxa"/>
            <w:vAlign w:val="center"/>
          </w:tcPr>
          <w:p w14:paraId="5554A77B">
            <w:pPr>
              <w:spacing w:line="276" w:lineRule="auto"/>
              <w:jc w:val="center"/>
              <w:rPr>
                <w:rFonts w:ascii="宋体" w:hAnsi="宋体"/>
                <w:color w:val="000000" w:themeColor="text1"/>
                <w:sz w:val="28"/>
                <w14:textFill>
                  <w14:solidFill>
                    <w14:schemeClr w14:val="tx1"/>
                  </w14:solidFill>
                </w14:textFill>
              </w:rPr>
            </w:pPr>
          </w:p>
        </w:tc>
      </w:tr>
      <w:tr w14:paraId="10E26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74" w:type="dxa"/>
            <w:vAlign w:val="center"/>
          </w:tcPr>
          <w:p w14:paraId="7B5FDDBD">
            <w:pPr>
              <w:spacing w:line="276" w:lineRule="auto"/>
              <w:jc w:val="center"/>
              <w:rPr>
                <w:rFonts w:ascii="宋体" w:hAnsi="宋体"/>
                <w:color w:val="000000" w:themeColor="text1"/>
                <w:sz w:val="28"/>
                <w14:textFill>
                  <w14:solidFill>
                    <w14:schemeClr w14:val="tx1"/>
                  </w14:solidFill>
                </w14:textFill>
              </w:rPr>
            </w:pPr>
            <w:r>
              <w:rPr>
                <w:rFonts w:ascii="宋体" w:hAnsi="宋体"/>
                <w:color w:val="000000" w:themeColor="text1"/>
                <w:sz w:val="28"/>
                <w14:textFill>
                  <w14:solidFill>
                    <w14:schemeClr w14:val="tx1"/>
                  </w14:solidFill>
                </w14:textFill>
              </w:rPr>
              <w:t>4</w:t>
            </w:r>
          </w:p>
        </w:tc>
        <w:tc>
          <w:tcPr>
            <w:tcW w:w="2013" w:type="dxa"/>
            <w:vAlign w:val="center"/>
          </w:tcPr>
          <w:p w14:paraId="0EAD4F0C">
            <w:pPr>
              <w:spacing w:line="276" w:lineRule="auto"/>
              <w:jc w:val="center"/>
              <w:rPr>
                <w:rFonts w:ascii="宋体" w:hAnsi="宋体"/>
                <w:color w:val="000000" w:themeColor="text1"/>
                <w:sz w:val="28"/>
                <w14:textFill>
                  <w14:solidFill>
                    <w14:schemeClr w14:val="tx1"/>
                  </w14:solidFill>
                </w14:textFill>
              </w:rPr>
            </w:pPr>
          </w:p>
        </w:tc>
        <w:tc>
          <w:tcPr>
            <w:tcW w:w="1808" w:type="dxa"/>
            <w:vAlign w:val="center"/>
          </w:tcPr>
          <w:p w14:paraId="62E0ECD0">
            <w:pPr>
              <w:spacing w:line="276" w:lineRule="auto"/>
              <w:jc w:val="center"/>
              <w:rPr>
                <w:rFonts w:ascii="宋体" w:hAnsi="宋体"/>
                <w:color w:val="000000" w:themeColor="text1"/>
                <w:sz w:val="28"/>
                <w14:textFill>
                  <w14:solidFill>
                    <w14:schemeClr w14:val="tx1"/>
                  </w14:solidFill>
                </w14:textFill>
              </w:rPr>
            </w:pPr>
          </w:p>
        </w:tc>
        <w:tc>
          <w:tcPr>
            <w:tcW w:w="1337" w:type="dxa"/>
            <w:vAlign w:val="center"/>
          </w:tcPr>
          <w:p w14:paraId="0B96EA3B">
            <w:pPr>
              <w:spacing w:line="276" w:lineRule="auto"/>
              <w:jc w:val="center"/>
              <w:rPr>
                <w:rFonts w:ascii="宋体" w:hAnsi="宋体"/>
                <w:color w:val="000000" w:themeColor="text1"/>
                <w:sz w:val="28"/>
                <w14:textFill>
                  <w14:solidFill>
                    <w14:schemeClr w14:val="tx1"/>
                  </w14:solidFill>
                </w14:textFill>
              </w:rPr>
            </w:pPr>
          </w:p>
        </w:tc>
        <w:tc>
          <w:tcPr>
            <w:tcW w:w="1739" w:type="dxa"/>
            <w:vAlign w:val="center"/>
          </w:tcPr>
          <w:p w14:paraId="0F3699EA">
            <w:pPr>
              <w:spacing w:line="276" w:lineRule="auto"/>
              <w:jc w:val="center"/>
              <w:rPr>
                <w:rFonts w:ascii="宋体" w:hAnsi="宋体"/>
                <w:color w:val="000000" w:themeColor="text1"/>
                <w:sz w:val="28"/>
                <w14:textFill>
                  <w14:solidFill>
                    <w14:schemeClr w14:val="tx1"/>
                  </w14:solidFill>
                </w14:textFill>
              </w:rPr>
            </w:pPr>
          </w:p>
        </w:tc>
        <w:tc>
          <w:tcPr>
            <w:tcW w:w="2607" w:type="dxa"/>
            <w:vAlign w:val="center"/>
          </w:tcPr>
          <w:p w14:paraId="5DD4572A">
            <w:pPr>
              <w:spacing w:line="276" w:lineRule="auto"/>
              <w:jc w:val="center"/>
              <w:rPr>
                <w:rFonts w:ascii="宋体" w:hAnsi="宋体"/>
                <w:color w:val="000000" w:themeColor="text1"/>
                <w:sz w:val="28"/>
                <w14:textFill>
                  <w14:solidFill>
                    <w14:schemeClr w14:val="tx1"/>
                  </w14:solidFill>
                </w14:textFill>
              </w:rPr>
            </w:pPr>
          </w:p>
        </w:tc>
      </w:tr>
      <w:tr w14:paraId="398F0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74" w:type="dxa"/>
            <w:vAlign w:val="center"/>
          </w:tcPr>
          <w:p w14:paraId="633ED30E">
            <w:pPr>
              <w:spacing w:line="276" w:lineRule="auto"/>
              <w:jc w:val="center"/>
              <w:rPr>
                <w:rFonts w:ascii="宋体" w:hAnsi="宋体"/>
                <w:color w:val="000000" w:themeColor="text1"/>
                <w:sz w:val="28"/>
                <w14:textFill>
                  <w14:solidFill>
                    <w14:schemeClr w14:val="tx1"/>
                  </w14:solidFill>
                </w14:textFill>
              </w:rPr>
            </w:pPr>
            <w:r>
              <w:rPr>
                <w:rFonts w:hint="eastAsia" w:ascii="宋体" w:hAnsi="宋体"/>
                <w:color w:val="000000" w:themeColor="text1"/>
                <w:sz w:val="28"/>
                <w14:textFill>
                  <w14:solidFill>
                    <w14:schemeClr w14:val="tx1"/>
                  </w14:solidFill>
                </w14:textFill>
              </w:rPr>
              <w:t>……</w:t>
            </w:r>
          </w:p>
        </w:tc>
        <w:tc>
          <w:tcPr>
            <w:tcW w:w="2013" w:type="dxa"/>
            <w:vAlign w:val="center"/>
          </w:tcPr>
          <w:p w14:paraId="3F1D1505">
            <w:pPr>
              <w:spacing w:line="276" w:lineRule="auto"/>
              <w:jc w:val="center"/>
              <w:rPr>
                <w:rFonts w:ascii="宋体" w:hAnsi="宋体"/>
                <w:color w:val="000000" w:themeColor="text1"/>
                <w:sz w:val="28"/>
                <w14:textFill>
                  <w14:solidFill>
                    <w14:schemeClr w14:val="tx1"/>
                  </w14:solidFill>
                </w14:textFill>
              </w:rPr>
            </w:pPr>
          </w:p>
        </w:tc>
        <w:tc>
          <w:tcPr>
            <w:tcW w:w="1808" w:type="dxa"/>
            <w:vAlign w:val="center"/>
          </w:tcPr>
          <w:p w14:paraId="0C67FFBE">
            <w:pPr>
              <w:spacing w:line="276" w:lineRule="auto"/>
              <w:jc w:val="center"/>
              <w:rPr>
                <w:rFonts w:ascii="宋体" w:hAnsi="宋体"/>
                <w:color w:val="000000" w:themeColor="text1"/>
                <w:sz w:val="28"/>
                <w14:textFill>
                  <w14:solidFill>
                    <w14:schemeClr w14:val="tx1"/>
                  </w14:solidFill>
                </w14:textFill>
              </w:rPr>
            </w:pPr>
          </w:p>
        </w:tc>
        <w:tc>
          <w:tcPr>
            <w:tcW w:w="1337" w:type="dxa"/>
            <w:vAlign w:val="center"/>
          </w:tcPr>
          <w:p w14:paraId="4E7B37A9">
            <w:pPr>
              <w:spacing w:line="276" w:lineRule="auto"/>
              <w:jc w:val="center"/>
              <w:rPr>
                <w:rFonts w:ascii="宋体" w:hAnsi="宋体"/>
                <w:color w:val="000000" w:themeColor="text1"/>
                <w:sz w:val="28"/>
                <w14:textFill>
                  <w14:solidFill>
                    <w14:schemeClr w14:val="tx1"/>
                  </w14:solidFill>
                </w14:textFill>
              </w:rPr>
            </w:pPr>
          </w:p>
        </w:tc>
        <w:tc>
          <w:tcPr>
            <w:tcW w:w="1739" w:type="dxa"/>
            <w:vAlign w:val="center"/>
          </w:tcPr>
          <w:p w14:paraId="2A6D3DBD">
            <w:pPr>
              <w:spacing w:line="276" w:lineRule="auto"/>
              <w:jc w:val="center"/>
              <w:rPr>
                <w:rFonts w:ascii="宋体" w:hAnsi="宋体"/>
                <w:color w:val="000000" w:themeColor="text1"/>
                <w:sz w:val="28"/>
                <w14:textFill>
                  <w14:solidFill>
                    <w14:schemeClr w14:val="tx1"/>
                  </w14:solidFill>
                </w14:textFill>
              </w:rPr>
            </w:pPr>
          </w:p>
        </w:tc>
        <w:tc>
          <w:tcPr>
            <w:tcW w:w="2607" w:type="dxa"/>
            <w:vAlign w:val="center"/>
          </w:tcPr>
          <w:p w14:paraId="017879F4">
            <w:pPr>
              <w:spacing w:line="276" w:lineRule="auto"/>
              <w:jc w:val="center"/>
              <w:rPr>
                <w:rFonts w:ascii="宋体" w:hAnsi="宋体"/>
                <w:color w:val="000000" w:themeColor="text1"/>
                <w:sz w:val="28"/>
                <w14:textFill>
                  <w14:solidFill>
                    <w14:schemeClr w14:val="tx1"/>
                  </w14:solidFill>
                </w14:textFill>
              </w:rPr>
            </w:pPr>
          </w:p>
        </w:tc>
      </w:tr>
      <w:tr w14:paraId="11FD2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2787" w:type="dxa"/>
            <w:gridSpan w:val="2"/>
            <w:vAlign w:val="center"/>
          </w:tcPr>
          <w:p w14:paraId="577F7357">
            <w:pPr>
              <w:spacing w:line="276"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总</w:t>
            </w:r>
            <w:r>
              <w:rPr>
                <w:rFonts w:ascii="宋体" w:hAnsi="宋体"/>
                <w:b/>
                <w:color w:val="000000" w:themeColor="text1"/>
                <w:sz w:val="24"/>
                <w14:textFill>
                  <w14:solidFill>
                    <w14:schemeClr w14:val="tx1"/>
                  </w14:solidFill>
                </w14:textFill>
              </w:rPr>
              <w:t xml:space="preserve">           </w:t>
            </w:r>
            <w:r>
              <w:rPr>
                <w:rFonts w:hint="eastAsia" w:ascii="宋体" w:hAnsi="宋体"/>
                <w:b/>
                <w:color w:val="000000" w:themeColor="text1"/>
                <w:sz w:val="24"/>
                <w14:textFill>
                  <w14:solidFill>
                    <w14:schemeClr w14:val="tx1"/>
                  </w14:solidFill>
                </w14:textFill>
              </w:rPr>
              <w:t>价</w:t>
            </w:r>
          </w:p>
        </w:tc>
        <w:tc>
          <w:tcPr>
            <w:tcW w:w="7492" w:type="dxa"/>
            <w:gridSpan w:val="4"/>
            <w:vAlign w:val="center"/>
          </w:tcPr>
          <w:p w14:paraId="186CF88A">
            <w:pPr>
              <w:spacing w:line="276" w:lineRule="auto"/>
              <w:jc w:val="center"/>
              <w:rPr>
                <w:rFonts w:ascii="宋体" w:hAnsi="宋体"/>
                <w:color w:val="000000" w:themeColor="text1"/>
                <w:sz w:val="24"/>
                <w14:textFill>
                  <w14:solidFill>
                    <w14:schemeClr w14:val="tx1"/>
                  </w14:solidFill>
                </w14:textFill>
              </w:rPr>
            </w:pPr>
          </w:p>
        </w:tc>
      </w:tr>
    </w:tbl>
    <w:p w14:paraId="3E6CD89C">
      <w:pPr>
        <w:pStyle w:val="12"/>
        <w:snapToGrid w:val="0"/>
        <w:spacing w:line="360" w:lineRule="auto"/>
        <w:ind w:firstLine="480" w:firstLineChars="200"/>
        <w:rPr>
          <w:rFonts w:hAnsi="宋体" w:cs="宋体"/>
          <w:color w:val="000000"/>
          <w:sz w:val="24"/>
          <w:lang w:val="zh-CN"/>
        </w:rPr>
      </w:pPr>
    </w:p>
    <w:p w14:paraId="3A9E1100">
      <w:pPr>
        <w:spacing w:line="360" w:lineRule="auto"/>
        <w:rPr>
          <w:rFonts w:ascii="宋体" w:hAnsi="宋体"/>
          <w:color w:val="000000" w:themeColor="text1"/>
          <w:sz w:val="24"/>
          <w14:textFill>
            <w14:solidFill>
              <w14:schemeClr w14:val="tx1"/>
            </w14:solidFill>
          </w14:textFill>
        </w:rPr>
      </w:pPr>
      <w:r>
        <w:rPr>
          <w:rFonts w:hint="eastAsia" w:hAnsi="宋体" w:cs="宋体"/>
          <w:color w:val="000000"/>
          <w:sz w:val="24"/>
          <w:lang w:val="zh-CN"/>
        </w:rPr>
        <w:t>注：</w:t>
      </w:r>
      <w:r>
        <w:rPr>
          <w:rFonts w:hint="eastAsia" w:hAnsi="宋体" w:cs="宋体"/>
          <w:color w:val="000000"/>
          <w:sz w:val="24"/>
        </w:rPr>
        <w:t>1、可根据具体情况调整报价明细清单格式，但应包括项目涉及的一切相关税、费等费用。</w:t>
      </w:r>
    </w:p>
    <w:p w14:paraId="0E09A17D">
      <w:pPr>
        <w:autoSpaceDE w:val="0"/>
        <w:autoSpaceDN w:val="0"/>
        <w:adjustRightInd w:val="0"/>
        <w:spacing w:line="360" w:lineRule="auto"/>
        <w:ind w:firstLine="480" w:firstLineChars="200"/>
        <w:rPr>
          <w:rFonts w:ascii="宋体" w:hAnsi="宋体" w:cs="宋体"/>
          <w:color w:val="000000"/>
          <w:kern w:val="0"/>
          <w:sz w:val="24"/>
        </w:rPr>
      </w:pPr>
      <w:r>
        <w:rPr>
          <w:rFonts w:hint="eastAsia" w:ascii="宋体" w:hAnsi="宋体" w:cs="宋体"/>
          <w:color w:val="000000"/>
          <w:kern w:val="0"/>
          <w:sz w:val="24"/>
        </w:rPr>
        <w:t>2、报价明细清单中合计总价应与相应总报价一致。</w:t>
      </w:r>
    </w:p>
    <w:p w14:paraId="3264FDE5">
      <w:pPr>
        <w:autoSpaceDE w:val="0"/>
        <w:spacing w:after="312" w:afterLines="100"/>
        <w:jc w:val="center"/>
        <w:rPr>
          <w:rFonts w:ascii="宋体" w:hAnsi="宋体" w:cs="仿宋"/>
          <w:b/>
          <w:bCs/>
          <w:sz w:val="24"/>
          <w:szCs w:val="24"/>
        </w:rPr>
      </w:pPr>
    </w:p>
    <w:p w14:paraId="5BC78B76">
      <w:pPr>
        <w:autoSpaceDE w:val="0"/>
        <w:spacing w:after="312" w:afterLines="100"/>
        <w:jc w:val="center"/>
        <w:rPr>
          <w:rFonts w:ascii="宋体" w:hAnsi="宋体" w:cs="仿宋"/>
          <w:b/>
          <w:bCs/>
          <w:sz w:val="24"/>
          <w:szCs w:val="24"/>
        </w:rPr>
      </w:pPr>
    </w:p>
    <w:p w14:paraId="03664320">
      <w:pPr>
        <w:spacing w:line="600" w:lineRule="auto"/>
        <w:ind w:left="945" w:hanging="945"/>
        <w:rPr>
          <w:rFonts w:ascii="宋体" w:hAnsi="宋体"/>
        </w:rPr>
      </w:pPr>
      <w:r>
        <w:rPr>
          <w:rFonts w:hint="eastAsia" w:ascii="宋体" w:hAnsi="宋体"/>
        </w:rPr>
        <w:t>报价人：（盖章）</w:t>
      </w:r>
    </w:p>
    <w:p w14:paraId="2E1B61D0">
      <w:pPr>
        <w:spacing w:line="600" w:lineRule="auto"/>
        <w:ind w:left="945" w:hanging="945"/>
        <w:rPr>
          <w:rFonts w:ascii="宋体" w:hAnsi="宋体"/>
        </w:rPr>
      </w:pPr>
      <w:r>
        <w:rPr>
          <w:rFonts w:hint="eastAsia" w:ascii="宋体" w:hAnsi="宋体"/>
        </w:rPr>
        <w:t>执行事务合伙人或委托代理人：（签字或盖个人章）</w:t>
      </w:r>
    </w:p>
    <w:p w14:paraId="387F3002">
      <w:pPr>
        <w:spacing w:line="600" w:lineRule="auto"/>
        <w:ind w:left="945" w:hanging="945"/>
        <w:rPr>
          <w:rFonts w:ascii="宋体" w:hAnsi="宋体"/>
        </w:rPr>
      </w:pPr>
      <w:r>
        <w:rPr>
          <w:rFonts w:hint="eastAsia" w:ascii="宋体" w:hAnsi="宋体"/>
        </w:rPr>
        <w:t>日期:    年    月    日</w:t>
      </w:r>
    </w:p>
    <w:p w14:paraId="4D980901">
      <w:pPr>
        <w:widowControl/>
        <w:jc w:val="left"/>
        <w:rPr>
          <w:rFonts w:cs="仿宋" w:asciiTheme="minorEastAsia" w:hAnsiTheme="minorEastAsia" w:eastAsiaTheme="minorEastAsia"/>
          <w:sz w:val="24"/>
          <w:szCs w:val="24"/>
        </w:rPr>
      </w:pPr>
      <w:r>
        <w:rPr>
          <w:rFonts w:cs="仿宋" w:asciiTheme="minorEastAsia" w:hAnsiTheme="minorEastAsia" w:eastAsiaTheme="minorEastAsia"/>
          <w:sz w:val="24"/>
          <w:szCs w:val="24"/>
        </w:rPr>
        <w:br w:type="page"/>
      </w:r>
    </w:p>
    <w:p w14:paraId="6AE6F708">
      <w:pPr>
        <w:widowControl/>
        <w:rPr>
          <w:rFonts w:ascii="宋体" w:hAnsi="宋体"/>
        </w:rPr>
      </w:pPr>
    </w:p>
    <w:p w14:paraId="617EB1B4">
      <w:pPr>
        <w:pStyle w:val="4"/>
        <w:rPr>
          <w:b w:val="0"/>
          <w:bCs w:val="0"/>
          <w:kern w:val="2"/>
          <w:sz w:val="21"/>
          <w:szCs w:val="22"/>
        </w:rPr>
      </w:pPr>
      <w:r>
        <w:rPr>
          <w:b w:val="0"/>
          <w:bCs w:val="0"/>
          <w:kern w:val="2"/>
          <w:sz w:val="21"/>
          <w:szCs w:val="22"/>
        </w:rPr>
        <w:t>6</w:t>
      </w:r>
      <w:r>
        <w:rPr>
          <w:rFonts w:hint="eastAsia"/>
          <w:b w:val="0"/>
          <w:bCs w:val="0"/>
          <w:kern w:val="2"/>
          <w:sz w:val="21"/>
          <w:szCs w:val="22"/>
        </w:rPr>
        <w:t>、审计质量控制制度和控制方案</w:t>
      </w:r>
    </w:p>
    <w:p w14:paraId="18100A3F">
      <w:pPr>
        <w:widowControl/>
        <w:jc w:val="left"/>
      </w:pPr>
    </w:p>
    <w:p w14:paraId="4DACA39B">
      <w:pPr>
        <w:widowControl/>
        <w:jc w:val="left"/>
      </w:pPr>
      <w:r>
        <w:rPr>
          <w:rFonts w:hint="eastAsia"/>
        </w:rPr>
        <w:t>格式自拟，内容包含但不限于审计质量控制制度和控制方案</w:t>
      </w:r>
    </w:p>
    <w:p w14:paraId="37D0892B">
      <w:pPr>
        <w:widowControl/>
        <w:jc w:val="left"/>
      </w:pPr>
    </w:p>
    <w:p w14:paraId="45C9F4F9">
      <w:pPr>
        <w:widowControl/>
        <w:jc w:val="left"/>
      </w:pPr>
    </w:p>
    <w:p w14:paraId="70951182">
      <w:pPr>
        <w:widowControl/>
        <w:jc w:val="left"/>
      </w:pPr>
    </w:p>
    <w:p w14:paraId="4291D4E9">
      <w:pPr>
        <w:widowControl/>
        <w:jc w:val="left"/>
      </w:pPr>
    </w:p>
    <w:p w14:paraId="308F8D8C">
      <w:pPr>
        <w:widowControl/>
        <w:jc w:val="left"/>
      </w:pPr>
    </w:p>
    <w:p w14:paraId="30194872">
      <w:pPr>
        <w:widowControl/>
        <w:jc w:val="left"/>
      </w:pPr>
    </w:p>
    <w:p w14:paraId="63D3D301">
      <w:pPr>
        <w:widowControl/>
        <w:jc w:val="left"/>
      </w:pPr>
    </w:p>
    <w:p w14:paraId="3EA3F605">
      <w:pPr>
        <w:spacing w:line="600" w:lineRule="auto"/>
        <w:ind w:left="945" w:hanging="945"/>
        <w:rPr>
          <w:rFonts w:ascii="宋体" w:hAnsi="宋体"/>
        </w:rPr>
      </w:pPr>
      <w:r>
        <w:rPr>
          <w:rFonts w:hint="eastAsia" w:ascii="宋体" w:hAnsi="宋体"/>
        </w:rPr>
        <w:t>报价人：（盖章）</w:t>
      </w:r>
    </w:p>
    <w:p w14:paraId="2B48AA2C">
      <w:pPr>
        <w:spacing w:line="600" w:lineRule="auto"/>
        <w:ind w:left="945" w:hanging="945"/>
        <w:rPr>
          <w:rFonts w:ascii="宋体" w:hAnsi="宋体"/>
        </w:rPr>
      </w:pPr>
      <w:r>
        <w:rPr>
          <w:rFonts w:hint="eastAsia" w:ascii="宋体" w:hAnsi="宋体"/>
        </w:rPr>
        <w:t>法定代表人或法定代表授权</w:t>
      </w:r>
      <w:r>
        <w:rPr>
          <w:rFonts w:ascii="宋体" w:hAnsi="宋体"/>
        </w:rPr>
        <w:t>委托人</w:t>
      </w:r>
      <w:r>
        <w:rPr>
          <w:rFonts w:hint="eastAsia" w:ascii="宋体" w:hAnsi="宋体"/>
        </w:rPr>
        <w:t>：（签字或盖个人章）</w:t>
      </w:r>
    </w:p>
    <w:p w14:paraId="6F9E722F">
      <w:pPr>
        <w:spacing w:line="600" w:lineRule="auto"/>
        <w:ind w:left="945" w:hanging="945"/>
        <w:rPr>
          <w:rFonts w:ascii="宋体" w:hAnsi="宋体"/>
        </w:rPr>
      </w:pPr>
      <w:r>
        <w:rPr>
          <w:rFonts w:hint="eastAsia" w:ascii="宋体" w:hAnsi="宋体"/>
        </w:rPr>
        <w:t>日期:    年    月    日</w:t>
      </w:r>
    </w:p>
    <w:p w14:paraId="16940FD5">
      <w:pPr>
        <w:widowControl/>
        <w:jc w:val="left"/>
      </w:pPr>
    </w:p>
    <w:p w14:paraId="7AEDE575">
      <w:pPr>
        <w:pStyle w:val="99"/>
        <w:rPr>
          <w:b/>
          <w:bCs/>
        </w:rPr>
      </w:pPr>
    </w:p>
    <w:p w14:paraId="21F1D5DD">
      <w:pPr>
        <w:pStyle w:val="99"/>
        <w:rPr>
          <w:b/>
          <w:bCs/>
        </w:rPr>
      </w:pPr>
    </w:p>
    <w:p w14:paraId="62B73059">
      <w:pPr>
        <w:pStyle w:val="99"/>
        <w:rPr>
          <w:b/>
          <w:bCs/>
        </w:rPr>
      </w:pPr>
    </w:p>
    <w:p w14:paraId="61C3843A">
      <w:pPr>
        <w:pStyle w:val="99"/>
        <w:rPr>
          <w:b/>
          <w:bCs/>
        </w:rPr>
      </w:pPr>
    </w:p>
    <w:p w14:paraId="20F3B07D">
      <w:pPr>
        <w:pStyle w:val="99"/>
        <w:rPr>
          <w:b/>
          <w:bCs/>
        </w:rPr>
      </w:pPr>
    </w:p>
    <w:p w14:paraId="2B32A463">
      <w:pPr>
        <w:pStyle w:val="99"/>
        <w:rPr>
          <w:b/>
          <w:bCs/>
        </w:rPr>
      </w:pPr>
    </w:p>
    <w:p w14:paraId="2DDE8761">
      <w:pPr>
        <w:widowControl/>
        <w:jc w:val="left"/>
      </w:pPr>
    </w:p>
    <w:p w14:paraId="22CEA9BC">
      <w:pPr>
        <w:widowControl/>
        <w:jc w:val="left"/>
      </w:pPr>
    </w:p>
    <w:p w14:paraId="1E7B1327">
      <w:pPr>
        <w:widowControl/>
        <w:jc w:val="left"/>
      </w:pPr>
    </w:p>
    <w:p w14:paraId="59C17FED">
      <w:pPr>
        <w:widowControl/>
        <w:jc w:val="left"/>
      </w:pPr>
    </w:p>
    <w:p w14:paraId="063C2173">
      <w:pPr>
        <w:widowControl/>
        <w:jc w:val="left"/>
      </w:pPr>
    </w:p>
    <w:p w14:paraId="70BD610E">
      <w:pPr>
        <w:widowControl/>
        <w:jc w:val="left"/>
      </w:pPr>
    </w:p>
    <w:p w14:paraId="2A67F7DE">
      <w:pPr>
        <w:widowControl/>
        <w:jc w:val="left"/>
        <w:rPr>
          <w:b/>
          <w:bCs/>
          <w:kern w:val="0"/>
          <w:sz w:val="24"/>
          <w:szCs w:val="32"/>
        </w:rPr>
      </w:pPr>
      <w:r>
        <w:br w:type="page"/>
      </w:r>
    </w:p>
    <w:p w14:paraId="34BB87B7">
      <w:pPr>
        <w:pStyle w:val="99"/>
        <w:rPr>
          <w:kern w:val="2"/>
          <w:sz w:val="21"/>
          <w:lang w:val="en-US"/>
        </w:rPr>
      </w:pPr>
      <w:r>
        <w:rPr>
          <w:kern w:val="2"/>
          <w:sz w:val="21"/>
          <w:lang w:val="en-US"/>
        </w:rPr>
        <w:t>7</w:t>
      </w:r>
      <w:r>
        <w:rPr>
          <w:rFonts w:hint="eastAsia"/>
          <w:kern w:val="2"/>
          <w:sz w:val="21"/>
          <w:lang w:val="en-US"/>
        </w:rPr>
        <w:t>、审计方案</w:t>
      </w:r>
    </w:p>
    <w:p w14:paraId="21B66BB8">
      <w:pPr>
        <w:widowControl/>
        <w:jc w:val="left"/>
      </w:pPr>
    </w:p>
    <w:p w14:paraId="00B59AC3">
      <w:pPr>
        <w:widowControl/>
        <w:jc w:val="left"/>
      </w:pPr>
      <w:r>
        <w:rPr>
          <w:rFonts w:hint="eastAsia"/>
        </w:rPr>
        <w:t>格式自拟</w:t>
      </w:r>
    </w:p>
    <w:p w14:paraId="76B89E7B">
      <w:pPr>
        <w:widowControl/>
        <w:jc w:val="left"/>
      </w:pPr>
    </w:p>
    <w:p w14:paraId="272B9C8E">
      <w:pPr>
        <w:widowControl/>
        <w:jc w:val="left"/>
      </w:pPr>
    </w:p>
    <w:p w14:paraId="2E33A030">
      <w:pPr>
        <w:widowControl/>
        <w:jc w:val="left"/>
      </w:pPr>
    </w:p>
    <w:p w14:paraId="0D8AF265">
      <w:pPr>
        <w:widowControl/>
        <w:jc w:val="left"/>
      </w:pPr>
    </w:p>
    <w:p w14:paraId="770A2CA0">
      <w:pPr>
        <w:spacing w:line="600" w:lineRule="auto"/>
        <w:ind w:left="945" w:hanging="945"/>
        <w:rPr>
          <w:rFonts w:ascii="宋体" w:hAnsi="宋体"/>
        </w:rPr>
      </w:pPr>
      <w:r>
        <w:rPr>
          <w:rFonts w:hint="eastAsia" w:ascii="宋体" w:hAnsi="宋体"/>
        </w:rPr>
        <w:t>报价人：（盖章）</w:t>
      </w:r>
    </w:p>
    <w:p w14:paraId="6C35ACC2">
      <w:pPr>
        <w:spacing w:line="600" w:lineRule="auto"/>
        <w:ind w:left="945" w:hanging="945"/>
        <w:rPr>
          <w:rFonts w:ascii="宋体" w:hAnsi="宋体"/>
        </w:rPr>
      </w:pPr>
      <w:r>
        <w:rPr>
          <w:rFonts w:hint="eastAsia" w:ascii="宋体" w:hAnsi="宋体"/>
        </w:rPr>
        <w:t>执行事务合伙人或委托代理人：（签字或盖个人章）</w:t>
      </w:r>
    </w:p>
    <w:p w14:paraId="0C7DF842">
      <w:pPr>
        <w:spacing w:line="600" w:lineRule="auto"/>
        <w:ind w:left="945" w:hanging="945"/>
        <w:rPr>
          <w:rFonts w:ascii="宋体" w:hAnsi="宋体"/>
        </w:rPr>
      </w:pPr>
      <w:r>
        <w:rPr>
          <w:rFonts w:hint="eastAsia" w:ascii="宋体" w:hAnsi="宋体"/>
        </w:rPr>
        <w:t>日期:    年    月    日</w:t>
      </w:r>
    </w:p>
    <w:p w14:paraId="2EFE616D">
      <w:pPr>
        <w:widowControl/>
        <w:jc w:val="left"/>
      </w:pPr>
    </w:p>
    <w:p w14:paraId="33254FCB">
      <w:pPr>
        <w:widowControl/>
        <w:jc w:val="left"/>
        <w:rPr>
          <w:b/>
          <w:bCs/>
          <w:kern w:val="0"/>
          <w:sz w:val="24"/>
          <w:szCs w:val="32"/>
        </w:rPr>
      </w:pPr>
    </w:p>
    <w:p w14:paraId="7BD00F99">
      <w:pPr>
        <w:widowControl/>
        <w:jc w:val="left"/>
        <w:rPr>
          <w:b/>
          <w:bCs/>
          <w:kern w:val="0"/>
          <w:sz w:val="24"/>
          <w:szCs w:val="32"/>
        </w:rPr>
      </w:pPr>
    </w:p>
    <w:p w14:paraId="67B4445E">
      <w:pPr>
        <w:widowControl/>
        <w:jc w:val="left"/>
        <w:rPr>
          <w:b/>
          <w:bCs/>
          <w:kern w:val="0"/>
          <w:sz w:val="24"/>
          <w:szCs w:val="32"/>
        </w:rPr>
      </w:pPr>
    </w:p>
    <w:p w14:paraId="38298D7D">
      <w:pPr>
        <w:widowControl/>
        <w:jc w:val="left"/>
        <w:rPr>
          <w:b/>
          <w:bCs/>
          <w:kern w:val="0"/>
          <w:sz w:val="24"/>
          <w:szCs w:val="32"/>
        </w:rPr>
      </w:pPr>
    </w:p>
    <w:p w14:paraId="7D6C1E43">
      <w:pPr>
        <w:widowControl/>
        <w:jc w:val="left"/>
        <w:rPr>
          <w:b/>
          <w:bCs/>
          <w:kern w:val="0"/>
          <w:sz w:val="24"/>
          <w:szCs w:val="32"/>
        </w:rPr>
      </w:pPr>
    </w:p>
    <w:p w14:paraId="20D45A7D">
      <w:pPr>
        <w:widowControl/>
        <w:jc w:val="left"/>
        <w:rPr>
          <w:b/>
          <w:bCs/>
          <w:kern w:val="0"/>
          <w:sz w:val="24"/>
          <w:szCs w:val="32"/>
        </w:rPr>
      </w:pPr>
    </w:p>
    <w:p w14:paraId="19F906D1">
      <w:pPr>
        <w:widowControl/>
        <w:jc w:val="left"/>
        <w:rPr>
          <w:b/>
          <w:bCs/>
          <w:kern w:val="0"/>
          <w:sz w:val="24"/>
          <w:szCs w:val="32"/>
        </w:rPr>
      </w:pPr>
    </w:p>
    <w:p w14:paraId="73CBFF0A">
      <w:pPr>
        <w:widowControl/>
        <w:jc w:val="left"/>
        <w:rPr>
          <w:b/>
          <w:bCs/>
          <w:kern w:val="0"/>
          <w:sz w:val="24"/>
          <w:szCs w:val="32"/>
        </w:rPr>
      </w:pPr>
    </w:p>
    <w:p w14:paraId="0A4BE63F">
      <w:pPr>
        <w:widowControl/>
        <w:jc w:val="left"/>
        <w:rPr>
          <w:b/>
          <w:bCs/>
          <w:kern w:val="0"/>
          <w:sz w:val="24"/>
          <w:szCs w:val="32"/>
        </w:rPr>
      </w:pPr>
    </w:p>
    <w:p w14:paraId="1E3A2234">
      <w:pPr>
        <w:widowControl/>
        <w:jc w:val="left"/>
        <w:rPr>
          <w:b/>
          <w:bCs/>
          <w:kern w:val="0"/>
          <w:sz w:val="24"/>
          <w:szCs w:val="32"/>
        </w:rPr>
      </w:pPr>
    </w:p>
    <w:p w14:paraId="70A88FA2">
      <w:pPr>
        <w:widowControl/>
        <w:jc w:val="left"/>
        <w:rPr>
          <w:b/>
          <w:bCs/>
          <w:kern w:val="0"/>
          <w:sz w:val="24"/>
          <w:szCs w:val="32"/>
        </w:rPr>
      </w:pPr>
    </w:p>
    <w:p w14:paraId="2D2FAFD1">
      <w:pPr>
        <w:widowControl/>
        <w:jc w:val="left"/>
        <w:rPr>
          <w:b/>
          <w:bCs/>
          <w:kern w:val="0"/>
          <w:sz w:val="24"/>
          <w:szCs w:val="32"/>
        </w:rPr>
      </w:pPr>
    </w:p>
    <w:p w14:paraId="02FD104B">
      <w:pPr>
        <w:widowControl/>
        <w:jc w:val="left"/>
        <w:rPr>
          <w:b/>
          <w:bCs/>
          <w:kern w:val="0"/>
          <w:sz w:val="24"/>
          <w:szCs w:val="32"/>
        </w:rPr>
      </w:pPr>
    </w:p>
    <w:p w14:paraId="66F8240E">
      <w:pPr>
        <w:widowControl/>
        <w:jc w:val="left"/>
        <w:rPr>
          <w:b/>
          <w:bCs/>
          <w:kern w:val="0"/>
          <w:sz w:val="24"/>
          <w:szCs w:val="32"/>
        </w:rPr>
      </w:pPr>
    </w:p>
    <w:p w14:paraId="661A19FB">
      <w:pPr>
        <w:widowControl/>
        <w:jc w:val="left"/>
        <w:rPr>
          <w:b/>
          <w:bCs/>
          <w:kern w:val="0"/>
          <w:sz w:val="24"/>
          <w:szCs w:val="32"/>
        </w:rPr>
      </w:pPr>
    </w:p>
    <w:p w14:paraId="27402E1D">
      <w:pPr>
        <w:widowControl/>
        <w:jc w:val="left"/>
        <w:rPr>
          <w:b/>
          <w:bCs/>
          <w:kern w:val="0"/>
          <w:sz w:val="24"/>
          <w:szCs w:val="32"/>
        </w:rPr>
      </w:pPr>
    </w:p>
    <w:p w14:paraId="7DCD2296">
      <w:pPr>
        <w:widowControl/>
        <w:jc w:val="left"/>
        <w:rPr>
          <w:b/>
          <w:bCs/>
          <w:kern w:val="0"/>
          <w:sz w:val="24"/>
          <w:szCs w:val="32"/>
        </w:rPr>
      </w:pPr>
    </w:p>
    <w:p w14:paraId="659F07A5">
      <w:pPr>
        <w:widowControl/>
        <w:jc w:val="left"/>
        <w:rPr>
          <w:b/>
          <w:bCs/>
          <w:kern w:val="0"/>
          <w:sz w:val="24"/>
          <w:szCs w:val="32"/>
        </w:rPr>
      </w:pPr>
    </w:p>
    <w:p w14:paraId="22CB9345">
      <w:pPr>
        <w:widowControl/>
        <w:jc w:val="left"/>
        <w:rPr>
          <w:b/>
          <w:bCs/>
          <w:kern w:val="0"/>
          <w:sz w:val="24"/>
          <w:szCs w:val="32"/>
        </w:rPr>
      </w:pPr>
    </w:p>
    <w:p w14:paraId="41D1A66A">
      <w:pPr>
        <w:widowControl/>
        <w:jc w:val="left"/>
        <w:rPr>
          <w:b/>
          <w:bCs/>
          <w:kern w:val="0"/>
          <w:sz w:val="24"/>
          <w:szCs w:val="32"/>
        </w:rPr>
      </w:pPr>
    </w:p>
    <w:p w14:paraId="46470806">
      <w:pPr>
        <w:widowControl/>
        <w:jc w:val="left"/>
        <w:rPr>
          <w:b/>
          <w:bCs/>
          <w:kern w:val="0"/>
          <w:sz w:val="24"/>
          <w:szCs w:val="32"/>
        </w:rPr>
      </w:pPr>
    </w:p>
    <w:p w14:paraId="739D7533">
      <w:pPr>
        <w:widowControl/>
        <w:jc w:val="left"/>
        <w:rPr>
          <w:b/>
          <w:bCs/>
          <w:kern w:val="0"/>
          <w:sz w:val="24"/>
          <w:szCs w:val="32"/>
        </w:rPr>
      </w:pPr>
    </w:p>
    <w:p w14:paraId="6E73CEC7">
      <w:pPr>
        <w:widowControl/>
        <w:jc w:val="left"/>
        <w:rPr>
          <w:b/>
          <w:bCs/>
          <w:kern w:val="0"/>
          <w:sz w:val="24"/>
          <w:szCs w:val="32"/>
        </w:rPr>
      </w:pPr>
    </w:p>
    <w:p w14:paraId="316A36A0">
      <w:pPr>
        <w:widowControl/>
        <w:jc w:val="left"/>
        <w:rPr>
          <w:b/>
          <w:bCs/>
          <w:kern w:val="0"/>
          <w:sz w:val="24"/>
          <w:szCs w:val="32"/>
        </w:rPr>
      </w:pPr>
    </w:p>
    <w:p w14:paraId="4473B599">
      <w:pPr>
        <w:widowControl/>
        <w:jc w:val="left"/>
        <w:rPr>
          <w:b/>
          <w:bCs/>
          <w:kern w:val="0"/>
          <w:sz w:val="24"/>
          <w:szCs w:val="32"/>
        </w:rPr>
      </w:pPr>
    </w:p>
    <w:p w14:paraId="6C563EFF">
      <w:pPr>
        <w:widowControl/>
        <w:jc w:val="left"/>
        <w:rPr>
          <w:b/>
          <w:bCs/>
          <w:kern w:val="0"/>
          <w:sz w:val="24"/>
          <w:szCs w:val="32"/>
        </w:rPr>
      </w:pPr>
    </w:p>
    <w:p w14:paraId="05737368">
      <w:pPr>
        <w:widowControl/>
        <w:jc w:val="left"/>
        <w:rPr>
          <w:b/>
          <w:bCs/>
          <w:kern w:val="0"/>
          <w:sz w:val="24"/>
          <w:szCs w:val="32"/>
        </w:rPr>
      </w:pPr>
    </w:p>
    <w:p w14:paraId="033FB382">
      <w:pPr>
        <w:widowControl/>
        <w:jc w:val="left"/>
        <w:rPr>
          <w:b/>
          <w:bCs/>
          <w:kern w:val="0"/>
          <w:sz w:val="24"/>
          <w:szCs w:val="32"/>
        </w:rPr>
      </w:pPr>
    </w:p>
    <w:p w14:paraId="22EC04DA">
      <w:pPr>
        <w:widowControl/>
        <w:jc w:val="left"/>
        <w:rPr>
          <w:b/>
          <w:bCs/>
          <w:kern w:val="0"/>
          <w:sz w:val="24"/>
          <w:szCs w:val="32"/>
        </w:rPr>
      </w:pPr>
    </w:p>
    <w:p w14:paraId="0502D854">
      <w:pPr>
        <w:widowControl/>
        <w:jc w:val="left"/>
        <w:rPr>
          <w:b/>
          <w:bCs/>
          <w:kern w:val="0"/>
          <w:sz w:val="24"/>
          <w:szCs w:val="32"/>
        </w:rPr>
      </w:pPr>
      <w:r>
        <w:rPr>
          <w:b/>
          <w:bCs/>
          <w:kern w:val="0"/>
          <w:sz w:val="24"/>
          <w:szCs w:val="32"/>
        </w:rPr>
        <w:br w:type="page"/>
      </w:r>
    </w:p>
    <w:tbl>
      <w:tblPr>
        <w:tblStyle w:val="25"/>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
        <w:gridCol w:w="855"/>
        <w:gridCol w:w="7292"/>
        <w:gridCol w:w="644"/>
        <w:gridCol w:w="644"/>
      </w:tblGrid>
      <w:tr w14:paraId="18CDE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9" w:hRule="atLeast"/>
        </w:trPr>
        <w:tc>
          <w:tcPr>
            <w:tcW w:w="13953" w:type="dxa"/>
            <w:gridSpan w:val="5"/>
            <w:tcBorders>
              <w:top w:val="nil"/>
              <w:left w:val="nil"/>
              <w:bottom w:val="nil"/>
              <w:right w:val="nil"/>
            </w:tcBorders>
            <w:shd w:val="clear" w:color="auto" w:fill="FFFFFF" w:themeFill="background1"/>
          </w:tcPr>
          <w:p w14:paraId="3CB37FD9">
            <w:pPr>
              <w:tabs>
                <w:tab w:val="left" w:pos="5586"/>
              </w:tabs>
              <w:jc w:val="center"/>
              <w:rPr>
                <w:rFonts w:ascii="宋体" w:hAnsi="宋体"/>
                <w:b/>
                <w:sz w:val="24"/>
                <w:szCs w:val="21"/>
              </w:rPr>
            </w:pPr>
            <w:r>
              <w:rPr>
                <w:rFonts w:hint="eastAsia" w:ascii="宋体" w:hAnsi="宋体"/>
                <w:b/>
                <w:sz w:val="24"/>
                <w:szCs w:val="21"/>
              </w:rPr>
              <w:t>广东华特气体股份有限公司</w:t>
            </w:r>
          </w:p>
          <w:p w14:paraId="1D911659">
            <w:pPr>
              <w:jc w:val="center"/>
              <w:rPr>
                <w:rFonts w:ascii="宋体" w:hAnsi="宋体"/>
                <w:b/>
                <w:szCs w:val="21"/>
              </w:rPr>
            </w:pPr>
            <w:r>
              <w:rPr>
                <w:rFonts w:hint="eastAsia" w:ascii="宋体" w:hAnsi="宋体"/>
                <w:b/>
                <w:sz w:val="24"/>
                <w:szCs w:val="21"/>
              </w:rPr>
              <w:t>选聘会计师事务所评价表</w:t>
            </w:r>
          </w:p>
        </w:tc>
      </w:tr>
      <w:tr w14:paraId="265BE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13953" w:type="dxa"/>
            <w:gridSpan w:val="5"/>
            <w:tcBorders>
              <w:top w:val="nil"/>
              <w:left w:val="nil"/>
              <w:bottom w:val="single" w:color="auto" w:sz="4" w:space="0"/>
              <w:right w:val="nil"/>
            </w:tcBorders>
            <w:shd w:val="clear" w:color="auto" w:fill="FFFFFF" w:themeFill="background1"/>
          </w:tcPr>
          <w:p w14:paraId="2C6B55A2">
            <w:pPr>
              <w:tabs>
                <w:tab w:val="left" w:pos="5586"/>
              </w:tabs>
              <w:jc w:val="left"/>
              <w:rPr>
                <w:rFonts w:ascii="宋体" w:hAnsi="宋体"/>
                <w:b/>
                <w:szCs w:val="21"/>
              </w:rPr>
            </w:pPr>
            <w:r>
              <w:rPr>
                <w:rFonts w:hint="eastAsia" w:ascii="宋体" w:hAnsi="宋体"/>
                <w:b/>
                <w:szCs w:val="21"/>
              </w:rPr>
              <w:t>评价对象：</w:t>
            </w:r>
          </w:p>
        </w:tc>
      </w:tr>
      <w:tr w14:paraId="2B04D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7"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572BEDBD">
            <w:pPr>
              <w:jc w:val="center"/>
              <w:rPr>
                <w:rFonts w:ascii="宋体" w:hAnsi="宋体"/>
                <w:b/>
                <w:szCs w:val="21"/>
              </w:rPr>
            </w:pPr>
            <w:r>
              <w:rPr>
                <w:rFonts w:hint="eastAsia" w:ascii="宋体" w:hAnsi="宋体"/>
                <w:b/>
                <w:szCs w:val="21"/>
              </w:rPr>
              <w:t>序号</w:t>
            </w:r>
          </w:p>
        </w:tc>
        <w:tc>
          <w:tcPr>
            <w:tcW w:w="1103"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0C3E3D99">
            <w:pPr>
              <w:jc w:val="center"/>
              <w:rPr>
                <w:rFonts w:ascii="宋体" w:hAnsi="宋体"/>
                <w:b/>
                <w:szCs w:val="21"/>
              </w:rPr>
            </w:pPr>
            <w:r>
              <w:rPr>
                <w:rFonts w:hint="eastAsia" w:ascii="宋体" w:hAnsi="宋体"/>
                <w:b/>
                <w:szCs w:val="21"/>
              </w:rPr>
              <w:t>评分项</w:t>
            </w:r>
          </w:p>
        </w:tc>
        <w:tc>
          <w:tcPr>
            <w:tcW w:w="10914"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6203D737">
            <w:pPr>
              <w:jc w:val="center"/>
              <w:rPr>
                <w:rFonts w:ascii="宋体" w:hAnsi="宋体"/>
                <w:b/>
                <w:szCs w:val="21"/>
              </w:rPr>
            </w:pPr>
            <w:r>
              <w:rPr>
                <w:rFonts w:hint="eastAsia" w:ascii="宋体" w:hAnsi="宋体"/>
                <w:b/>
                <w:szCs w:val="21"/>
              </w:rPr>
              <w:t>评分内容</w:t>
            </w:r>
          </w:p>
        </w:tc>
        <w:tc>
          <w:tcPr>
            <w:tcW w:w="709"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3ACC271F">
            <w:pPr>
              <w:jc w:val="center"/>
              <w:rPr>
                <w:rFonts w:ascii="宋体" w:hAnsi="宋体"/>
                <w:b/>
                <w:szCs w:val="21"/>
              </w:rPr>
            </w:pPr>
            <w:r>
              <w:rPr>
                <w:rFonts w:hint="eastAsia" w:ascii="宋体" w:hAnsi="宋体"/>
                <w:b/>
                <w:szCs w:val="21"/>
              </w:rPr>
              <w:t>最高评分</w:t>
            </w:r>
          </w:p>
        </w:tc>
        <w:tc>
          <w:tcPr>
            <w:tcW w:w="770"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14:paraId="17DE499F">
            <w:pPr>
              <w:jc w:val="center"/>
              <w:rPr>
                <w:rFonts w:ascii="宋体" w:hAnsi="宋体"/>
                <w:b/>
                <w:szCs w:val="21"/>
              </w:rPr>
            </w:pPr>
            <w:r>
              <w:rPr>
                <w:rFonts w:hint="eastAsia" w:ascii="宋体" w:hAnsi="宋体"/>
                <w:b/>
                <w:szCs w:val="21"/>
              </w:rPr>
              <w:t>评分</w:t>
            </w:r>
          </w:p>
        </w:tc>
      </w:tr>
      <w:tr w14:paraId="23137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457" w:type="dxa"/>
            <w:tcBorders>
              <w:top w:val="single" w:color="auto" w:sz="4" w:space="0"/>
              <w:left w:val="single" w:color="auto" w:sz="4" w:space="0"/>
              <w:bottom w:val="single" w:color="auto" w:sz="4" w:space="0"/>
              <w:right w:val="single" w:color="auto" w:sz="4" w:space="0"/>
            </w:tcBorders>
            <w:vAlign w:val="center"/>
          </w:tcPr>
          <w:p w14:paraId="19DD7AD4">
            <w:pPr>
              <w:jc w:val="center"/>
              <w:rPr>
                <w:rFonts w:ascii="宋体" w:hAnsi="宋体"/>
                <w:szCs w:val="21"/>
              </w:rPr>
            </w:pPr>
            <w:r>
              <w:rPr>
                <w:rFonts w:ascii="Times New Roman" w:hAnsi="Times New Roman"/>
                <w:szCs w:val="21"/>
              </w:rPr>
              <w:t>1</w:t>
            </w:r>
          </w:p>
        </w:tc>
        <w:tc>
          <w:tcPr>
            <w:tcW w:w="1103" w:type="dxa"/>
            <w:tcBorders>
              <w:top w:val="single" w:color="auto" w:sz="4" w:space="0"/>
              <w:left w:val="single" w:color="auto" w:sz="4" w:space="0"/>
              <w:bottom w:val="single" w:color="auto" w:sz="4" w:space="0"/>
              <w:right w:val="single" w:color="auto" w:sz="4" w:space="0"/>
            </w:tcBorders>
            <w:vAlign w:val="center"/>
          </w:tcPr>
          <w:p w14:paraId="3505DB42">
            <w:pPr>
              <w:jc w:val="center"/>
              <w:rPr>
                <w:rFonts w:ascii="宋体" w:hAnsi="宋体"/>
                <w:szCs w:val="21"/>
              </w:rPr>
            </w:pPr>
            <w:r>
              <w:rPr>
                <w:rFonts w:hint="eastAsia" w:ascii="宋体" w:hAnsi="宋体"/>
                <w:szCs w:val="21"/>
              </w:rPr>
              <w:t>资质</w:t>
            </w:r>
          </w:p>
          <w:p w14:paraId="1BE1ABD6">
            <w:pPr>
              <w:jc w:val="center"/>
              <w:rPr>
                <w:rFonts w:ascii="宋体" w:hAnsi="宋体"/>
                <w:szCs w:val="21"/>
              </w:rPr>
            </w:pPr>
            <w:r>
              <w:rPr>
                <w:rFonts w:hint="eastAsia" w:ascii="宋体" w:hAnsi="宋体"/>
                <w:szCs w:val="21"/>
              </w:rPr>
              <w:t>条件</w:t>
            </w:r>
          </w:p>
        </w:tc>
        <w:tc>
          <w:tcPr>
            <w:tcW w:w="10914" w:type="dxa"/>
            <w:tcBorders>
              <w:top w:val="single" w:color="auto" w:sz="4" w:space="0"/>
              <w:left w:val="single" w:color="auto" w:sz="4" w:space="0"/>
              <w:bottom w:val="single" w:color="auto" w:sz="4" w:space="0"/>
              <w:right w:val="single" w:color="auto" w:sz="4" w:space="0"/>
            </w:tcBorders>
            <w:vAlign w:val="center"/>
          </w:tcPr>
          <w:p w14:paraId="691174EB">
            <w:pPr>
              <w:widowControl/>
              <w:ind w:left="420" w:leftChars="200"/>
              <w:rPr>
                <w:rFonts w:ascii="宋体" w:hAnsi="宋体"/>
                <w:color w:val="000000"/>
                <w:szCs w:val="21"/>
              </w:rPr>
            </w:pPr>
            <w:r>
              <w:rPr>
                <w:rFonts w:ascii="Times New Roman" w:hAnsi="Times New Roman"/>
                <w:color w:val="000000"/>
                <w:szCs w:val="21"/>
              </w:rPr>
              <w:t>1</w:t>
            </w:r>
            <w:r>
              <w:rPr>
                <w:rFonts w:hint="eastAsia" w:ascii="宋体" w:hAnsi="宋体"/>
                <w:color w:val="000000"/>
                <w:szCs w:val="21"/>
              </w:rPr>
              <w:t>、具有独立的主体资格和执行证券、期货相关业务资格；</w:t>
            </w:r>
            <w:r>
              <w:rPr>
                <w:rFonts w:hint="eastAsia" w:ascii="宋体" w:hAnsi="宋体"/>
                <w:color w:val="000000"/>
                <w:szCs w:val="21"/>
              </w:rPr>
              <w:br w:type="textWrapping"/>
            </w:r>
            <w:r>
              <w:rPr>
                <w:rFonts w:ascii="Times New Roman" w:hAnsi="Times New Roman"/>
                <w:color w:val="000000"/>
                <w:szCs w:val="21"/>
              </w:rPr>
              <w:t>2</w:t>
            </w:r>
            <w:r>
              <w:rPr>
                <w:rFonts w:hint="eastAsia" w:ascii="宋体" w:hAnsi="宋体"/>
                <w:color w:val="000000"/>
                <w:szCs w:val="21"/>
              </w:rPr>
              <w:t>、具有固定的工作场所、健全的组织机构和完善的内部管理和控制制度；</w:t>
            </w:r>
            <w:r>
              <w:rPr>
                <w:rFonts w:hint="eastAsia" w:ascii="宋体" w:hAnsi="宋体"/>
                <w:color w:val="000000"/>
                <w:szCs w:val="21"/>
              </w:rPr>
              <w:br w:type="textWrapping"/>
            </w:r>
            <w:r>
              <w:rPr>
                <w:rFonts w:ascii="Times New Roman" w:hAnsi="Times New Roman"/>
                <w:color w:val="000000"/>
                <w:szCs w:val="21"/>
              </w:rPr>
              <w:t>3</w:t>
            </w:r>
            <w:r>
              <w:rPr>
                <w:rFonts w:hint="eastAsia" w:ascii="宋体" w:hAnsi="宋体"/>
                <w:color w:val="000000"/>
                <w:szCs w:val="21"/>
              </w:rPr>
              <w:t>、熟悉国家有关财务会计方面的法律法规、规章和政策。</w:t>
            </w:r>
          </w:p>
        </w:tc>
        <w:tc>
          <w:tcPr>
            <w:tcW w:w="709" w:type="dxa"/>
            <w:tcBorders>
              <w:top w:val="single" w:color="auto" w:sz="4" w:space="0"/>
              <w:left w:val="single" w:color="auto" w:sz="4" w:space="0"/>
              <w:bottom w:val="single" w:color="auto" w:sz="4" w:space="0"/>
              <w:right w:val="single" w:color="auto" w:sz="4" w:space="0"/>
            </w:tcBorders>
            <w:vAlign w:val="center"/>
          </w:tcPr>
          <w:p w14:paraId="3DC44FBD">
            <w:pPr>
              <w:ind w:firstLine="18" w:firstLineChars="9"/>
              <w:jc w:val="center"/>
              <w:rPr>
                <w:rFonts w:ascii="宋体" w:hAnsi="宋体"/>
                <w:szCs w:val="21"/>
              </w:rPr>
            </w:pPr>
            <w:r>
              <w:rPr>
                <w:rFonts w:ascii="Times New Roman" w:hAnsi="Times New Roman"/>
                <w:szCs w:val="21"/>
              </w:rPr>
              <w:t>10</w:t>
            </w:r>
          </w:p>
        </w:tc>
        <w:tc>
          <w:tcPr>
            <w:tcW w:w="770" w:type="dxa"/>
            <w:tcBorders>
              <w:top w:val="single" w:color="auto" w:sz="4" w:space="0"/>
              <w:left w:val="single" w:color="auto" w:sz="4" w:space="0"/>
              <w:bottom w:val="single" w:color="auto" w:sz="4" w:space="0"/>
              <w:right w:val="single" w:color="auto" w:sz="4" w:space="0"/>
            </w:tcBorders>
          </w:tcPr>
          <w:p w14:paraId="71E8C6E5">
            <w:pPr>
              <w:jc w:val="center"/>
              <w:rPr>
                <w:rFonts w:ascii="宋体" w:hAnsi="宋体"/>
                <w:b/>
                <w:szCs w:val="21"/>
              </w:rPr>
            </w:pPr>
          </w:p>
        </w:tc>
      </w:tr>
      <w:tr w14:paraId="69916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457" w:type="dxa"/>
            <w:tcBorders>
              <w:top w:val="single" w:color="auto" w:sz="4" w:space="0"/>
              <w:left w:val="single" w:color="auto" w:sz="4" w:space="0"/>
              <w:bottom w:val="single" w:color="auto" w:sz="4" w:space="0"/>
              <w:right w:val="single" w:color="auto" w:sz="4" w:space="0"/>
            </w:tcBorders>
            <w:vAlign w:val="center"/>
          </w:tcPr>
          <w:p w14:paraId="7CDE0E2E">
            <w:pPr>
              <w:snapToGrid w:val="0"/>
              <w:jc w:val="center"/>
              <w:rPr>
                <w:rFonts w:ascii="宋体" w:hAnsi="宋体"/>
                <w:szCs w:val="21"/>
              </w:rPr>
            </w:pPr>
            <w:r>
              <w:rPr>
                <w:rFonts w:ascii="Times New Roman" w:hAnsi="Times New Roman"/>
                <w:szCs w:val="21"/>
              </w:rPr>
              <w:t>2</w:t>
            </w:r>
          </w:p>
        </w:tc>
        <w:tc>
          <w:tcPr>
            <w:tcW w:w="1103" w:type="dxa"/>
            <w:tcBorders>
              <w:top w:val="single" w:color="auto" w:sz="4" w:space="0"/>
              <w:left w:val="single" w:color="auto" w:sz="4" w:space="0"/>
              <w:bottom w:val="single" w:color="auto" w:sz="4" w:space="0"/>
              <w:right w:val="single" w:color="auto" w:sz="4" w:space="0"/>
            </w:tcBorders>
            <w:vAlign w:val="center"/>
          </w:tcPr>
          <w:p w14:paraId="1113E791">
            <w:pPr>
              <w:jc w:val="center"/>
              <w:rPr>
                <w:rFonts w:ascii="宋体" w:hAnsi="宋体"/>
                <w:szCs w:val="21"/>
              </w:rPr>
            </w:pPr>
            <w:r>
              <w:rPr>
                <w:rFonts w:hint="eastAsia" w:ascii="宋体" w:hAnsi="宋体"/>
                <w:szCs w:val="21"/>
              </w:rPr>
              <w:t>执业</w:t>
            </w:r>
          </w:p>
          <w:p w14:paraId="5FF65166">
            <w:pPr>
              <w:jc w:val="center"/>
              <w:rPr>
                <w:rFonts w:ascii="宋体" w:hAnsi="宋体"/>
                <w:szCs w:val="21"/>
              </w:rPr>
            </w:pPr>
            <w:r>
              <w:rPr>
                <w:rFonts w:hint="eastAsia" w:ascii="宋体" w:hAnsi="宋体"/>
                <w:szCs w:val="21"/>
              </w:rPr>
              <w:t>记录</w:t>
            </w:r>
          </w:p>
        </w:tc>
        <w:tc>
          <w:tcPr>
            <w:tcW w:w="10914" w:type="dxa"/>
            <w:tcBorders>
              <w:top w:val="single" w:color="auto" w:sz="4" w:space="0"/>
              <w:left w:val="single" w:color="auto" w:sz="4" w:space="0"/>
              <w:bottom w:val="single" w:color="auto" w:sz="4" w:space="0"/>
              <w:right w:val="single" w:color="auto" w:sz="4" w:space="0"/>
            </w:tcBorders>
            <w:vAlign w:val="center"/>
          </w:tcPr>
          <w:p w14:paraId="3B652110">
            <w:pPr>
              <w:ind w:firstLine="420"/>
              <w:rPr>
                <w:rFonts w:ascii="宋体" w:hAnsi="宋体"/>
                <w:color w:val="000000"/>
                <w:szCs w:val="21"/>
              </w:rPr>
            </w:pPr>
            <w:r>
              <w:rPr>
                <w:rFonts w:hint="eastAsia" w:ascii="宋体" w:hAnsi="宋体"/>
                <w:color w:val="000000"/>
                <w:szCs w:val="21"/>
              </w:rPr>
              <w:t>认真执行国家有关财务审计的法律法规、规章和政策规定，具有良好的执业质量记录，近三年没有因证券期货违法执业受到刑事处罚。</w:t>
            </w:r>
          </w:p>
        </w:tc>
        <w:tc>
          <w:tcPr>
            <w:tcW w:w="709" w:type="dxa"/>
            <w:tcBorders>
              <w:top w:val="single" w:color="auto" w:sz="4" w:space="0"/>
              <w:left w:val="single" w:color="auto" w:sz="4" w:space="0"/>
              <w:bottom w:val="single" w:color="auto" w:sz="4" w:space="0"/>
              <w:right w:val="single" w:color="auto" w:sz="4" w:space="0"/>
            </w:tcBorders>
            <w:vAlign w:val="center"/>
          </w:tcPr>
          <w:p w14:paraId="6C3B5C2F">
            <w:pPr>
              <w:ind w:firstLine="18" w:firstLineChars="9"/>
              <w:jc w:val="center"/>
              <w:rPr>
                <w:rFonts w:ascii="宋体" w:hAnsi="宋体"/>
                <w:szCs w:val="21"/>
              </w:rPr>
            </w:pPr>
            <w:r>
              <w:rPr>
                <w:rFonts w:ascii="Times New Roman" w:hAnsi="Times New Roman"/>
                <w:szCs w:val="21"/>
              </w:rPr>
              <w:t>10</w:t>
            </w:r>
          </w:p>
        </w:tc>
        <w:tc>
          <w:tcPr>
            <w:tcW w:w="770" w:type="dxa"/>
            <w:tcBorders>
              <w:top w:val="single" w:color="auto" w:sz="4" w:space="0"/>
              <w:left w:val="single" w:color="auto" w:sz="4" w:space="0"/>
              <w:bottom w:val="single" w:color="auto" w:sz="4" w:space="0"/>
              <w:right w:val="single" w:color="auto" w:sz="4" w:space="0"/>
            </w:tcBorders>
          </w:tcPr>
          <w:p w14:paraId="5188AC99">
            <w:pPr>
              <w:jc w:val="center"/>
              <w:rPr>
                <w:rFonts w:ascii="宋体" w:hAnsi="宋体"/>
                <w:b/>
                <w:szCs w:val="21"/>
              </w:rPr>
            </w:pPr>
          </w:p>
        </w:tc>
      </w:tr>
      <w:tr w14:paraId="4795D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457" w:type="dxa"/>
            <w:tcBorders>
              <w:top w:val="single" w:color="auto" w:sz="4" w:space="0"/>
              <w:left w:val="single" w:color="auto" w:sz="4" w:space="0"/>
              <w:bottom w:val="single" w:color="auto" w:sz="4" w:space="0"/>
              <w:right w:val="single" w:color="auto" w:sz="4" w:space="0"/>
            </w:tcBorders>
            <w:vAlign w:val="center"/>
          </w:tcPr>
          <w:p w14:paraId="68E33AB1">
            <w:pPr>
              <w:snapToGrid w:val="0"/>
              <w:jc w:val="center"/>
              <w:rPr>
                <w:rFonts w:ascii="宋体" w:hAnsi="宋体"/>
                <w:szCs w:val="21"/>
              </w:rPr>
            </w:pPr>
            <w:r>
              <w:rPr>
                <w:rFonts w:ascii="Times New Roman" w:hAnsi="Times New Roman"/>
                <w:szCs w:val="21"/>
              </w:rPr>
              <w:t>3</w:t>
            </w:r>
          </w:p>
        </w:tc>
        <w:tc>
          <w:tcPr>
            <w:tcW w:w="1103" w:type="dxa"/>
            <w:tcBorders>
              <w:top w:val="single" w:color="auto" w:sz="4" w:space="0"/>
              <w:left w:val="single" w:color="auto" w:sz="4" w:space="0"/>
              <w:bottom w:val="single" w:color="auto" w:sz="4" w:space="0"/>
              <w:right w:val="single" w:color="auto" w:sz="4" w:space="0"/>
            </w:tcBorders>
            <w:vAlign w:val="center"/>
          </w:tcPr>
          <w:p w14:paraId="76FA0B0B">
            <w:pPr>
              <w:jc w:val="center"/>
              <w:rPr>
                <w:rFonts w:ascii="宋体" w:hAnsi="宋体"/>
                <w:szCs w:val="21"/>
              </w:rPr>
            </w:pPr>
            <w:r>
              <w:rPr>
                <w:rFonts w:hint="eastAsia" w:ascii="宋体" w:hAnsi="宋体"/>
                <w:szCs w:val="21"/>
              </w:rPr>
              <w:t>工作</w:t>
            </w:r>
          </w:p>
          <w:p w14:paraId="2884BD27">
            <w:pPr>
              <w:jc w:val="center"/>
              <w:rPr>
                <w:rFonts w:ascii="宋体" w:hAnsi="宋体"/>
                <w:szCs w:val="21"/>
              </w:rPr>
            </w:pPr>
            <w:r>
              <w:rPr>
                <w:rFonts w:hint="eastAsia" w:ascii="宋体" w:hAnsi="宋体"/>
                <w:szCs w:val="21"/>
              </w:rPr>
              <w:t>方案</w:t>
            </w:r>
          </w:p>
        </w:tc>
        <w:tc>
          <w:tcPr>
            <w:tcW w:w="10914" w:type="dxa"/>
            <w:tcBorders>
              <w:top w:val="single" w:color="auto" w:sz="4" w:space="0"/>
              <w:left w:val="single" w:color="auto" w:sz="4" w:space="0"/>
              <w:bottom w:val="single" w:color="auto" w:sz="4" w:space="0"/>
              <w:right w:val="single" w:color="auto" w:sz="4" w:space="0"/>
            </w:tcBorders>
            <w:vAlign w:val="center"/>
          </w:tcPr>
          <w:p w14:paraId="0CFE6269">
            <w:pPr>
              <w:ind w:firstLine="420"/>
              <w:rPr>
                <w:rFonts w:ascii="宋体" w:hAnsi="宋体"/>
                <w:color w:val="000000"/>
                <w:szCs w:val="21"/>
              </w:rPr>
            </w:pPr>
            <w:r>
              <w:rPr>
                <w:rFonts w:hint="eastAsia" w:ascii="宋体" w:hAnsi="宋体"/>
                <w:color w:val="000000"/>
                <w:szCs w:val="21"/>
              </w:rPr>
              <w:t>审计项目组需要对公司性质和基本情况有初步了解，针对公司审计需求制定切实可行的工作方案，包括但不限于审计服务范围、人员配置等。</w:t>
            </w:r>
          </w:p>
        </w:tc>
        <w:tc>
          <w:tcPr>
            <w:tcW w:w="709" w:type="dxa"/>
            <w:tcBorders>
              <w:top w:val="single" w:color="auto" w:sz="4" w:space="0"/>
              <w:left w:val="single" w:color="auto" w:sz="4" w:space="0"/>
              <w:bottom w:val="single" w:color="auto" w:sz="4" w:space="0"/>
              <w:right w:val="single" w:color="auto" w:sz="4" w:space="0"/>
            </w:tcBorders>
            <w:vAlign w:val="center"/>
          </w:tcPr>
          <w:p w14:paraId="53A86F29">
            <w:pPr>
              <w:ind w:firstLine="18" w:firstLineChars="9"/>
              <w:jc w:val="center"/>
              <w:rPr>
                <w:rFonts w:ascii="宋体" w:hAnsi="宋体"/>
                <w:szCs w:val="21"/>
              </w:rPr>
            </w:pPr>
            <w:r>
              <w:rPr>
                <w:rFonts w:ascii="Times New Roman" w:hAnsi="Times New Roman"/>
                <w:szCs w:val="21"/>
              </w:rPr>
              <w:t>10</w:t>
            </w:r>
          </w:p>
        </w:tc>
        <w:tc>
          <w:tcPr>
            <w:tcW w:w="770" w:type="dxa"/>
            <w:tcBorders>
              <w:top w:val="single" w:color="auto" w:sz="4" w:space="0"/>
              <w:left w:val="single" w:color="auto" w:sz="4" w:space="0"/>
              <w:bottom w:val="single" w:color="auto" w:sz="4" w:space="0"/>
              <w:right w:val="single" w:color="auto" w:sz="4" w:space="0"/>
            </w:tcBorders>
          </w:tcPr>
          <w:p w14:paraId="50EB6248">
            <w:pPr>
              <w:jc w:val="center"/>
              <w:rPr>
                <w:rFonts w:ascii="宋体" w:hAnsi="宋体"/>
                <w:b/>
                <w:szCs w:val="21"/>
              </w:rPr>
            </w:pPr>
          </w:p>
        </w:tc>
      </w:tr>
      <w:tr w14:paraId="1097F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trPr>
        <w:tc>
          <w:tcPr>
            <w:tcW w:w="457" w:type="dxa"/>
            <w:tcBorders>
              <w:top w:val="single" w:color="auto" w:sz="4" w:space="0"/>
              <w:left w:val="single" w:color="auto" w:sz="4" w:space="0"/>
              <w:bottom w:val="single" w:color="auto" w:sz="4" w:space="0"/>
              <w:right w:val="single" w:color="auto" w:sz="4" w:space="0"/>
            </w:tcBorders>
            <w:vAlign w:val="center"/>
          </w:tcPr>
          <w:p w14:paraId="622401D0">
            <w:pPr>
              <w:snapToGrid w:val="0"/>
              <w:jc w:val="center"/>
              <w:rPr>
                <w:rFonts w:ascii="宋体" w:hAnsi="宋体"/>
                <w:szCs w:val="21"/>
              </w:rPr>
            </w:pPr>
            <w:r>
              <w:rPr>
                <w:rFonts w:ascii="Times New Roman" w:hAnsi="Times New Roman"/>
                <w:szCs w:val="21"/>
              </w:rPr>
              <w:t>4</w:t>
            </w:r>
          </w:p>
        </w:tc>
        <w:tc>
          <w:tcPr>
            <w:tcW w:w="1103" w:type="dxa"/>
            <w:tcBorders>
              <w:top w:val="single" w:color="auto" w:sz="4" w:space="0"/>
              <w:left w:val="single" w:color="auto" w:sz="4" w:space="0"/>
              <w:bottom w:val="single" w:color="auto" w:sz="4" w:space="0"/>
              <w:right w:val="single" w:color="auto" w:sz="4" w:space="0"/>
            </w:tcBorders>
            <w:vAlign w:val="center"/>
          </w:tcPr>
          <w:p w14:paraId="75C3255F">
            <w:pPr>
              <w:jc w:val="center"/>
              <w:rPr>
                <w:rFonts w:ascii="宋体" w:hAnsi="宋体"/>
                <w:szCs w:val="21"/>
              </w:rPr>
            </w:pPr>
            <w:r>
              <w:rPr>
                <w:rFonts w:hint="eastAsia" w:ascii="宋体" w:hAnsi="宋体"/>
                <w:szCs w:val="21"/>
              </w:rPr>
              <w:t>人力及</w:t>
            </w:r>
          </w:p>
          <w:p w14:paraId="2F6B890C">
            <w:pPr>
              <w:jc w:val="center"/>
              <w:rPr>
                <w:rFonts w:ascii="宋体" w:hAnsi="宋体"/>
                <w:szCs w:val="21"/>
              </w:rPr>
            </w:pPr>
            <w:r>
              <w:rPr>
                <w:rFonts w:hint="eastAsia" w:ascii="宋体" w:hAnsi="宋体"/>
                <w:szCs w:val="21"/>
              </w:rPr>
              <w:t>其他资源配备</w:t>
            </w:r>
          </w:p>
        </w:tc>
        <w:tc>
          <w:tcPr>
            <w:tcW w:w="10914" w:type="dxa"/>
            <w:tcBorders>
              <w:top w:val="single" w:color="auto" w:sz="4" w:space="0"/>
              <w:left w:val="single" w:color="auto" w:sz="4" w:space="0"/>
              <w:bottom w:val="single" w:color="auto" w:sz="4" w:space="0"/>
              <w:right w:val="single" w:color="auto" w:sz="4" w:space="0"/>
            </w:tcBorders>
            <w:vAlign w:val="center"/>
          </w:tcPr>
          <w:p w14:paraId="786900BA">
            <w:pPr>
              <w:ind w:firstLine="420"/>
              <w:rPr>
                <w:rFonts w:ascii="宋体" w:hAnsi="宋体"/>
                <w:color w:val="000000"/>
                <w:szCs w:val="21"/>
              </w:rPr>
            </w:pPr>
            <w:r>
              <w:rPr>
                <w:rFonts w:ascii="Times New Roman" w:hAnsi="Times New Roman"/>
                <w:color w:val="000000"/>
                <w:szCs w:val="21"/>
              </w:rPr>
              <w:t>1</w:t>
            </w:r>
            <w:r>
              <w:rPr>
                <w:rFonts w:hint="eastAsia" w:ascii="宋体" w:hAnsi="宋体"/>
                <w:color w:val="000000"/>
                <w:szCs w:val="21"/>
              </w:rPr>
              <w:t>、具有完成审计任务和确保审计质量的注册会计师。</w:t>
            </w:r>
          </w:p>
          <w:p w14:paraId="4E30A2ED">
            <w:pPr>
              <w:ind w:firstLine="420"/>
              <w:rPr>
                <w:rFonts w:ascii="宋体" w:hAnsi="宋体"/>
                <w:color w:val="000000"/>
                <w:szCs w:val="21"/>
              </w:rPr>
            </w:pPr>
            <w:r>
              <w:rPr>
                <w:rFonts w:ascii="Times New Roman" w:hAnsi="Times New Roman"/>
                <w:color w:val="000000"/>
                <w:szCs w:val="21"/>
              </w:rPr>
              <w:t>2</w:t>
            </w:r>
            <w:r>
              <w:rPr>
                <w:rFonts w:hint="eastAsia" w:ascii="宋体" w:hAnsi="宋体"/>
                <w:color w:val="000000"/>
                <w:szCs w:val="21"/>
              </w:rPr>
              <w:t>、会计师事务所及项目合伙人、签字注册会计师和质量控制复核人不存在违反《中国注册会计师职业道德守则》对独立性要求的情形。</w:t>
            </w:r>
          </w:p>
          <w:p w14:paraId="245C344A">
            <w:pPr>
              <w:ind w:firstLine="420"/>
              <w:rPr>
                <w:rFonts w:ascii="宋体" w:hAnsi="宋体"/>
                <w:color w:val="000000"/>
                <w:szCs w:val="21"/>
              </w:rPr>
            </w:pPr>
            <w:r>
              <w:rPr>
                <w:rFonts w:ascii="Times New Roman" w:hAnsi="Times New Roman"/>
                <w:color w:val="000000"/>
                <w:szCs w:val="21"/>
              </w:rPr>
              <w:t>3</w:t>
            </w:r>
            <w:r>
              <w:rPr>
                <w:rFonts w:hint="eastAsia" w:ascii="宋体" w:hAnsi="宋体"/>
                <w:color w:val="000000"/>
                <w:szCs w:val="21"/>
              </w:rPr>
              <w:t>、审计项目组需配置具有专业胜任能力的人员进行审计工作，制定合理的时间预算，以保证项目合伙人和审计项目组其他成员投入充分时间参与审计项目。</w:t>
            </w:r>
          </w:p>
        </w:tc>
        <w:tc>
          <w:tcPr>
            <w:tcW w:w="709" w:type="dxa"/>
            <w:tcBorders>
              <w:top w:val="single" w:color="auto" w:sz="4" w:space="0"/>
              <w:left w:val="single" w:color="auto" w:sz="4" w:space="0"/>
              <w:bottom w:val="single" w:color="auto" w:sz="4" w:space="0"/>
              <w:right w:val="single" w:color="auto" w:sz="4" w:space="0"/>
            </w:tcBorders>
            <w:vAlign w:val="center"/>
          </w:tcPr>
          <w:p w14:paraId="08F2DEA4">
            <w:pPr>
              <w:ind w:firstLine="18" w:firstLineChars="9"/>
              <w:jc w:val="center"/>
              <w:rPr>
                <w:rFonts w:ascii="宋体" w:hAnsi="宋体"/>
                <w:szCs w:val="21"/>
              </w:rPr>
            </w:pPr>
            <w:r>
              <w:rPr>
                <w:rFonts w:ascii="Times New Roman" w:hAnsi="Times New Roman"/>
                <w:szCs w:val="21"/>
              </w:rPr>
              <w:t>10</w:t>
            </w:r>
          </w:p>
        </w:tc>
        <w:tc>
          <w:tcPr>
            <w:tcW w:w="770" w:type="dxa"/>
            <w:tcBorders>
              <w:top w:val="single" w:color="auto" w:sz="4" w:space="0"/>
              <w:left w:val="single" w:color="auto" w:sz="4" w:space="0"/>
              <w:bottom w:val="single" w:color="auto" w:sz="4" w:space="0"/>
              <w:right w:val="single" w:color="auto" w:sz="4" w:space="0"/>
            </w:tcBorders>
          </w:tcPr>
          <w:p w14:paraId="0973B486">
            <w:pPr>
              <w:jc w:val="center"/>
              <w:rPr>
                <w:rFonts w:ascii="宋体" w:hAnsi="宋体"/>
                <w:b/>
                <w:szCs w:val="21"/>
              </w:rPr>
            </w:pPr>
          </w:p>
        </w:tc>
      </w:tr>
      <w:tr w14:paraId="14FDE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457" w:type="dxa"/>
            <w:tcBorders>
              <w:top w:val="single" w:color="auto" w:sz="4" w:space="0"/>
              <w:left w:val="single" w:color="auto" w:sz="4" w:space="0"/>
              <w:bottom w:val="single" w:color="auto" w:sz="4" w:space="0"/>
              <w:right w:val="single" w:color="auto" w:sz="4" w:space="0"/>
            </w:tcBorders>
            <w:vAlign w:val="center"/>
          </w:tcPr>
          <w:p w14:paraId="1FAAE7D6">
            <w:pPr>
              <w:snapToGrid w:val="0"/>
              <w:jc w:val="center"/>
              <w:rPr>
                <w:rFonts w:ascii="宋体" w:hAnsi="宋体"/>
                <w:szCs w:val="21"/>
              </w:rPr>
            </w:pPr>
            <w:r>
              <w:rPr>
                <w:rFonts w:ascii="Times New Roman" w:hAnsi="Times New Roman"/>
                <w:szCs w:val="21"/>
              </w:rPr>
              <w:t>5</w:t>
            </w:r>
          </w:p>
        </w:tc>
        <w:tc>
          <w:tcPr>
            <w:tcW w:w="1103" w:type="dxa"/>
            <w:tcBorders>
              <w:top w:val="single" w:color="auto" w:sz="4" w:space="0"/>
              <w:left w:val="single" w:color="auto" w:sz="4" w:space="0"/>
              <w:bottom w:val="single" w:color="auto" w:sz="4" w:space="0"/>
              <w:right w:val="single" w:color="auto" w:sz="4" w:space="0"/>
            </w:tcBorders>
            <w:vAlign w:val="center"/>
          </w:tcPr>
          <w:p w14:paraId="77AAB7A6">
            <w:pPr>
              <w:jc w:val="center"/>
              <w:rPr>
                <w:rFonts w:ascii="宋体" w:hAnsi="宋体"/>
                <w:szCs w:val="21"/>
              </w:rPr>
            </w:pPr>
            <w:r>
              <w:rPr>
                <w:rFonts w:hint="eastAsia" w:ascii="宋体" w:hAnsi="宋体"/>
                <w:szCs w:val="21"/>
              </w:rPr>
              <w:t>信息安全管理</w:t>
            </w:r>
          </w:p>
        </w:tc>
        <w:tc>
          <w:tcPr>
            <w:tcW w:w="10914" w:type="dxa"/>
            <w:tcBorders>
              <w:top w:val="single" w:color="auto" w:sz="4" w:space="0"/>
              <w:left w:val="single" w:color="auto" w:sz="4" w:space="0"/>
              <w:bottom w:val="single" w:color="auto" w:sz="4" w:space="0"/>
              <w:right w:val="single" w:color="auto" w:sz="4" w:space="0"/>
            </w:tcBorders>
            <w:vAlign w:val="center"/>
          </w:tcPr>
          <w:p w14:paraId="44EEC396">
            <w:pPr>
              <w:ind w:firstLine="420"/>
              <w:rPr>
                <w:rFonts w:ascii="宋体" w:hAnsi="宋体"/>
                <w:color w:val="000000"/>
                <w:szCs w:val="21"/>
              </w:rPr>
            </w:pPr>
            <w:r>
              <w:rPr>
                <w:rFonts w:hint="eastAsia" w:ascii="宋体" w:hAnsi="宋体"/>
                <w:color w:val="000000"/>
                <w:szCs w:val="21"/>
              </w:rPr>
              <w:t>会计师事务所应严格遵循保密原则，履行信息安全保护义务。不得利用获知的涉密信息为自己和第三方谋取利益，能够对所知悉的公司信息、商业秘密保密。</w:t>
            </w:r>
          </w:p>
        </w:tc>
        <w:tc>
          <w:tcPr>
            <w:tcW w:w="709" w:type="dxa"/>
            <w:tcBorders>
              <w:top w:val="single" w:color="auto" w:sz="4" w:space="0"/>
              <w:left w:val="single" w:color="auto" w:sz="4" w:space="0"/>
              <w:bottom w:val="single" w:color="auto" w:sz="4" w:space="0"/>
              <w:right w:val="single" w:color="auto" w:sz="4" w:space="0"/>
            </w:tcBorders>
            <w:vAlign w:val="center"/>
          </w:tcPr>
          <w:p w14:paraId="779DDB44">
            <w:pPr>
              <w:ind w:firstLine="18" w:firstLineChars="9"/>
              <w:jc w:val="center"/>
              <w:rPr>
                <w:rFonts w:ascii="宋体" w:hAnsi="宋体"/>
                <w:szCs w:val="21"/>
              </w:rPr>
            </w:pPr>
            <w:r>
              <w:rPr>
                <w:rFonts w:ascii="Times New Roman" w:hAnsi="Times New Roman"/>
                <w:szCs w:val="21"/>
              </w:rPr>
              <w:t>5</w:t>
            </w:r>
          </w:p>
        </w:tc>
        <w:tc>
          <w:tcPr>
            <w:tcW w:w="770" w:type="dxa"/>
            <w:tcBorders>
              <w:top w:val="single" w:color="auto" w:sz="4" w:space="0"/>
              <w:left w:val="single" w:color="auto" w:sz="4" w:space="0"/>
              <w:bottom w:val="single" w:color="auto" w:sz="4" w:space="0"/>
              <w:right w:val="single" w:color="auto" w:sz="4" w:space="0"/>
            </w:tcBorders>
          </w:tcPr>
          <w:p w14:paraId="57DB662E">
            <w:pPr>
              <w:jc w:val="center"/>
              <w:rPr>
                <w:rFonts w:ascii="宋体" w:hAnsi="宋体"/>
                <w:b/>
                <w:szCs w:val="21"/>
              </w:rPr>
            </w:pPr>
          </w:p>
        </w:tc>
      </w:tr>
      <w:tr w14:paraId="4A406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457" w:type="dxa"/>
            <w:tcBorders>
              <w:top w:val="single" w:color="auto" w:sz="4" w:space="0"/>
              <w:left w:val="single" w:color="auto" w:sz="4" w:space="0"/>
              <w:bottom w:val="single" w:color="auto" w:sz="4" w:space="0"/>
              <w:right w:val="single" w:color="auto" w:sz="4" w:space="0"/>
            </w:tcBorders>
            <w:vAlign w:val="center"/>
          </w:tcPr>
          <w:p w14:paraId="4DAE8296">
            <w:pPr>
              <w:snapToGrid w:val="0"/>
              <w:jc w:val="center"/>
              <w:rPr>
                <w:rFonts w:ascii="宋体" w:hAnsi="宋体"/>
                <w:szCs w:val="21"/>
              </w:rPr>
            </w:pPr>
            <w:r>
              <w:rPr>
                <w:rFonts w:ascii="Times New Roman" w:hAnsi="Times New Roman"/>
                <w:szCs w:val="21"/>
              </w:rPr>
              <w:t>6</w:t>
            </w:r>
          </w:p>
        </w:tc>
        <w:tc>
          <w:tcPr>
            <w:tcW w:w="1103" w:type="dxa"/>
            <w:tcBorders>
              <w:top w:val="single" w:color="auto" w:sz="4" w:space="0"/>
              <w:left w:val="single" w:color="auto" w:sz="4" w:space="0"/>
              <w:bottom w:val="single" w:color="auto" w:sz="4" w:space="0"/>
              <w:right w:val="single" w:color="auto" w:sz="4" w:space="0"/>
            </w:tcBorders>
            <w:vAlign w:val="center"/>
          </w:tcPr>
          <w:p w14:paraId="194002B8">
            <w:pPr>
              <w:jc w:val="center"/>
              <w:rPr>
                <w:rFonts w:ascii="宋体" w:hAnsi="宋体"/>
                <w:szCs w:val="21"/>
              </w:rPr>
            </w:pPr>
            <w:r>
              <w:rPr>
                <w:rFonts w:hint="eastAsia" w:ascii="宋体" w:hAnsi="宋体"/>
                <w:szCs w:val="21"/>
              </w:rPr>
              <w:t>风险承担能力水平</w:t>
            </w:r>
          </w:p>
        </w:tc>
        <w:tc>
          <w:tcPr>
            <w:tcW w:w="10914" w:type="dxa"/>
            <w:tcBorders>
              <w:top w:val="single" w:color="auto" w:sz="4" w:space="0"/>
              <w:left w:val="single" w:color="auto" w:sz="4" w:space="0"/>
              <w:bottom w:val="single" w:color="auto" w:sz="4" w:space="0"/>
              <w:right w:val="single" w:color="auto" w:sz="4" w:space="0"/>
            </w:tcBorders>
            <w:vAlign w:val="center"/>
          </w:tcPr>
          <w:p w14:paraId="00809CDB">
            <w:pPr>
              <w:ind w:firstLine="420"/>
              <w:rPr>
                <w:rFonts w:ascii="宋体" w:hAnsi="宋体"/>
                <w:color w:val="000000"/>
                <w:szCs w:val="21"/>
              </w:rPr>
            </w:pPr>
            <w:r>
              <w:rPr>
                <w:rFonts w:hint="eastAsia" w:ascii="宋体" w:hAnsi="宋体"/>
                <w:color w:val="000000"/>
                <w:szCs w:val="21"/>
              </w:rPr>
              <w:t>会计师事务所应按照有关法律法规要求投保职业保险，职业保险累计赔偿限额和职业风险基金之和不得少于人民币</w:t>
            </w:r>
            <w:r>
              <w:rPr>
                <w:rFonts w:ascii="Times New Roman" w:hAnsi="Times New Roman"/>
                <w:color w:val="000000"/>
                <w:szCs w:val="21"/>
              </w:rPr>
              <w:t>1</w:t>
            </w:r>
            <w:r>
              <w:rPr>
                <w:rFonts w:hint="eastAsia" w:ascii="宋体" w:hAnsi="宋体"/>
                <w:color w:val="000000"/>
                <w:szCs w:val="21"/>
              </w:rPr>
              <w:t>亿元，职业风险基金计提或职业保险购买符合相关规定。</w:t>
            </w:r>
          </w:p>
        </w:tc>
        <w:tc>
          <w:tcPr>
            <w:tcW w:w="709" w:type="dxa"/>
            <w:tcBorders>
              <w:top w:val="single" w:color="auto" w:sz="4" w:space="0"/>
              <w:left w:val="single" w:color="auto" w:sz="4" w:space="0"/>
              <w:bottom w:val="single" w:color="auto" w:sz="4" w:space="0"/>
              <w:right w:val="single" w:color="auto" w:sz="4" w:space="0"/>
            </w:tcBorders>
            <w:vAlign w:val="center"/>
          </w:tcPr>
          <w:p w14:paraId="1E855706">
            <w:pPr>
              <w:ind w:firstLine="18" w:firstLineChars="9"/>
              <w:jc w:val="center"/>
              <w:rPr>
                <w:rFonts w:ascii="宋体" w:hAnsi="宋体"/>
                <w:szCs w:val="21"/>
              </w:rPr>
            </w:pPr>
            <w:r>
              <w:rPr>
                <w:rFonts w:ascii="Times New Roman" w:hAnsi="Times New Roman"/>
                <w:szCs w:val="21"/>
              </w:rPr>
              <w:t>5</w:t>
            </w:r>
          </w:p>
        </w:tc>
        <w:tc>
          <w:tcPr>
            <w:tcW w:w="770" w:type="dxa"/>
            <w:tcBorders>
              <w:top w:val="single" w:color="auto" w:sz="4" w:space="0"/>
              <w:left w:val="single" w:color="auto" w:sz="4" w:space="0"/>
              <w:bottom w:val="single" w:color="auto" w:sz="4" w:space="0"/>
              <w:right w:val="single" w:color="auto" w:sz="4" w:space="0"/>
            </w:tcBorders>
          </w:tcPr>
          <w:p w14:paraId="28E75E9E">
            <w:pPr>
              <w:jc w:val="center"/>
              <w:rPr>
                <w:rFonts w:ascii="宋体" w:hAnsi="宋体"/>
                <w:b/>
                <w:szCs w:val="21"/>
              </w:rPr>
            </w:pPr>
          </w:p>
        </w:tc>
      </w:tr>
      <w:tr w14:paraId="2C9E2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1" w:hRule="atLeast"/>
        </w:trPr>
        <w:tc>
          <w:tcPr>
            <w:tcW w:w="457" w:type="dxa"/>
            <w:tcBorders>
              <w:top w:val="single" w:color="auto" w:sz="4" w:space="0"/>
              <w:left w:val="single" w:color="auto" w:sz="4" w:space="0"/>
              <w:bottom w:val="single" w:color="auto" w:sz="4" w:space="0"/>
              <w:right w:val="single" w:color="auto" w:sz="4" w:space="0"/>
            </w:tcBorders>
            <w:vAlign w:val="center"/>
          </w:tcPr>
          <w:p w14:paraId="7BEC8CA5">
            <w:pPr>
              <w:snapToGrid w:val="0"/>
              <w:jc w:val="center"/>
              <w:rPr>
                <w:rFonts w:ascii="宋体" w:hAnsi="宋体"/>
                <w:szCs w:val="21"/>
              </w:rPr>
            </w:pPr>
            <w:r>
              <w:rPr>
                <w:rFonts w:ascii="Times New Roman" w:hAnsi="Times New Roman"/>
                <w:szCs w:val="21"/>
              </w:rPr>
              <w:t>7</w:t>
            </w:r>
          </w:p>
        </w:tc>
        <w:tc>
          <w:tcPr>
            <w:tcW w:w="1103" w:type="dxa"/>
            <w:tcBorders>
              <w:top w:val="single" w:color="auto" w:sz="4" w:space="0"/>
              <w:left w:val="single" w:color="auto" w:sz="4" w:space="0"/>
              <w:bottom w:val="single" w:color="auto" w:sz="4" w:space="0"/>
              <w:right w:val="single" w:color="auto" w:sz="4" w:space="0"/>
            </w:tcBorders>
            <w:vAlign w:val="center"/>
          </w:tcPr>
          <w:p w14:paraId="5F544FDA">
            <w:pPr>
              <w:jc w:val="center"/>
              <w:rPr>
                <w:rFonts w:ascii="宋体" w:hAnsi="宋体"/>
                <w:szCs w:val="21"/>
              </w:rPr>
            </w:pPr>
            <w:r>
              <w:rPr>
                <w:rFonts w:hint="eastAsia" w:ascii="宋体" w:hAnsi="宋体"/>
                <w:szCs w:val="21"/>
              </w:rPr>
              <w:t>质量管理水平</w:t>
            </w:r>
          </w:p>
        </w:tc>
        <w:tc>
          <w:tcPr>
            <w:tcW w:w="10914" w:type="dxa"/>
            <w:tcBorders>
              <w:top w:val="single" w:color="auto" w:sz="4" w:space="0"/>
              <w:left w:val="single" w:color="auto" w:sz="4" w:space="0"/>
              <w:bottom w:val="single" w:color="auto" w:sz="4" w:space="0"/>
              <w:right w:val="single" w:color="auto" w:sz="4" w:space="0"/>
            </w:tcBorders>
            <w:vAlign w:val="center"/>
          </w:tcPr>
          <w:p w14:paraId="3BDE498E">
            <w:pPr>
              <w:ind w:firstLine="420"/>
              <w:rPr>
                <w:rFonts w:ascii="宋体" w:hAnsi="宋体"/>
                <w:color w:val="000000"/>
                <w:szCs w:val="21"/>
              </w:rPr>
            </w:pPr>
            <w:r>
              <w:rPr>
                <w:rFonts w:hint="eastAsia" w:ascii="宋体" w:hAnsi="宋体"/>
                <w:color w:val="000000"/>
                <w:szCs w:val="21"/>
              </w:rPr>
              <w:t>质量管理制度及实施情况，包括项目咨询、意见分歧解决、项目质量复核、项目质量检查、质量管理缺陷识别与整改等方面的政策与程序：</w:t>
            </w:r>
          </w:p>
          <w:p w14:paraId="17ED2806">
            <w:pPr>
              <w:ind w:firstLine="420"/>
              <w:rPr>
                <w:rFonts w:ascii="宋体" w:hAnsi="宋体"/>
                <w:color w:val="000000"/>
                <w:szCs w:val="21"/>
              </w:rPr>
            </w:pPr>
            <w:r>
              <w:rPr>
                <w:rFonts w:ascii="Times New Roman" w:hAnsi="Times New Roman"/>
                <w:bCs/>
                <w:color w:val="000000"/>
                <w:szCs w:val="21"/>
              </w:rPr>
              <w:t>1</w:t>
            </w:r>
            <w:r>
              <w:rPr>
                <w:rFonts w:hint="eastAsia" w:ascii="宋体" w:hAnsi="宋体"/>
                <w:b/>
                <w:bCs/>
                <w:color w:val="000000"/>
                <w:szCs w:val="21"/>
              </w:rPr>
              <w:t>、项目咨询</w:t>
            </w:r>
          </w:p>
          <w:p w14:paraId="7ECCDFF9">
            <w:pPr>
              <w:ind w:firstLine="420"/>
              <w:rPr>
                <w:rFonts w:ascii="宋体" w:hAnsi="宋体"/>
                <w:color w:val="000000"/>
                <w:szCs w:val="21"/>
              </w:rPr>
            </w:pPr>
            <w:r>
              <w:rPr>
                <w:rFonts w:hint="eastAsia" w:ascii="宋体" w:hAnsi="宋体"/>
                <w:color w:val="000000"/>
                <w:szCs w:val="21"/>
              </w:rPr>
              <w:t>依据《会计师事务所质量管理准则第</w:t>
            </w:r>
            <w:r>
              <w:rPr>
                <w:rFonts w:ascii="Times New Roman" w:hAnsi="Times New Roman"/>
                <w:color w:val="000000"/>
                <w:szCs w:val="21"/>
              </w:rPr>
              <w:t>5101</w:t>
            </w:r>
            <w:r>
              <w:rPr>
                <w:rFonts w:hint="eastAsia" w:ascii="宋体" w:hAnsi="宋体"/>
                <w:color w:val="000000"/>
                <w:szCs w:val="21"/>
              </w:rPr>
              <w:t>号——业务质量管理》的规定，确保在审计过程中就相关事项进行适当的咨询。咨询可能在审计项目组内部进行，或者在审计项目组与会计师事务所内部或外部的其他适当人员之间进行。在出具审计结论之前，确保咨询性质、范围以及形成的结论达成一致意见；确定咨询形成的结论已得到执行。</w:t>
            </w:r>
          </w:p>
          <w:p w14:paraId="4CD5F670">
            <w:pPr>
              <w:ind w:firstLine="420"/>
              <w:rPr>
                <w:rFonts w:ascii="宋体" w:hAnsi="宋体"/>
                <w:color w:val="000000"/>
                <w:szCs w:val="21"/>
              </w:rPr>
            </w:pPr>
            <w:r>
              <w:rPr>
                <w:rFonts w:ascii="Times New Roman" w:hAnsi="Times New Roman"/>
                <w:bCs/>
                <w:color w:val="000000"/>
                <w:szCs w:val="21"/>
              </w:rPr>
              <w:t>2</w:t>
            </w:r>
            <w:r>
              <w:rPr>
                <w:rFonts w:hint="eastAsia" w:ascii="宋体" w:hAnsi="宋体"/>
                <w:b/>
                <w:bCs/>
                <w:color w:val="000000"/>
                <w:szCs w:val="21"/>
              </w:rPr>
              <w:t>、意见分歧解决</w:t>
            </w:r>
          </w:p>
          <w:p w14:paraId="4526A179">
            <w:pPr>
              <w:ind w:firstLine="420"/>
              <w:rPr>
                <w:rFonts w:ascii="宋体" w:hAnsi="宋体"/>
                <w:color w:val="000000"/>
                <w:szCs w:val="21"/>
              </w:rPr>
            </w:pPr>
            <w:r>
              <w:rPr>
                <w:rFonts w:hint="eastAsia" w:ascii="宋体" w:hAnsi="宋体"/>
                <w:color w:val="000000"/>
                <w:szCs w:val="21"/>
              </w:rPr>
              <w:t>依据《会计师事务所质量管理准则第</w:t>
            </w:r>
            <w:r>
              <w:rPr>
                <w:rFonts w:ascii="Times New Roman" w:hAnsi="Times New Roman"/>
                <w:color w:val="000000"/>
                <w:szCs w:val="21"/>
              </w:rPr>
              <w:t>5101</w:t>
            </w:r>
            <w:r>
              <w:rPr>
                <w:rFonts w:hint="eastAsia" w:ascii="宋体" w:hAnsi="宋体"/>
                <w:color w:val="000000"/>
                <w:szCs w:val="21"/>
              </w:rPr>
              <w:t>号——业务质量管理》的规定，针对意见分歧，会计师事务所有相应的政策和程序处理和解决包括项目组内部和外部的意见分歧。项目合伙人应确保：确定咨询得出的结论已经记录并得到执行；在所有意见分歧得到解决之前，不得签署审计报告。</w:t>
            </w:r>
          </w:p>
          <w:p w14:paraId="28C5668D">
            <w:pPr>
              <w:ind w:firstLine="420"/>
              <w:rPr>
                <w:rFonts w:ascii="宋体" w:hAnsi="宋体"/>
                <w:color w:val="000000"/>
                <w:szCs w:val="21"/>
              </w:rPr>
            </w:pPr>
            <w:r>
              <w:rPr>
                <w:rFonts w:ascii="Times New Roman" w:hAnsi="Times New Roman"/>
                <w:bCs/>
                <w:color w:val="000000"/>
                <w:szCs w:val="21"/>
              </w:rPr>
              <w:t>3</w:t>
            </w:r>
            <w:r>
              <w:rPr>
                <w:rFonts w:hint="eastAsia" w:ascii="宋体" w:hAnsi="宋体"/>
                <w:b/>
                <w:bCs/>
                <w:color w:val="000000"/>
                <w:szCs w:val="21"/>
              </w:rPr>
              <w:t>、项目质量复核、检查</w:t>
            </w:r>
          </w:p>
          <w:p w14:paraId="2FEE2C98">
            <w:pPr>
              <w:ind w:firstLine="420"/>
              <w:rPr>
                <w:rFonts w:ascii="宋体" w:hAnsi="宋体"/>
                <w:color w:val="000000"/>
                <w:szCs w:val="21"/>
              </w:rPr>
            </w:pPr>
            <w:r>
              <w:rPr>
                <w:rFonts w:hint="eastAsia" w:ascii="宋体" w:hAnsi="宋体"/>
                <w:color w:val="000000"/>
                <w:szCs w:val="21"/>
              </w:rPr>
              <w:t>依据《会计师事务所质量管理准则第</w:t>
            </w:r>
            <w:r>
              <w:rPr>
                <w:rFonts w:ascii="Times New Roman" w:hAnsi="Times New Roman"/>
                <w:color w:val="000000"/>
                <w:szCs w:val="21"/>
              </w:rPr>
              <w:t>5101</w:t>
            </w:r>
            <w:r>
              <w:rPr>
                <w:rFonts w:hint="eastAsia" w:ascii="宋体" w:hAnsi="宋体"/>
                <w:color w:val="000000"/>
                <w:szCs w:val="21"/>
              </w:rPr>
              <w:t>号——业务质量管理》和《会计师事务所质量管理准则第</w:t>
            </w:r>
            <w:r>
              <w:rPr>
                <w:rFonts w:ascii="Times New Roman" w:hAnsi="Times New Roman"/>
                <w:color w:val="000000"/>
                <w:szCs w:val="21"/>
              </w:rPr>
              <w:t>5102</w:t>
            </w:r>
            <w:r>
              <w:rPr>
                <w:rFonts w:hint="eastAsia" w:ascii="宋体" w:hAnsi="宋体"/>
                <w:color w:val="000000"/>
                <w:szCs w:val="21"/>
              </w:rPr>
              <w:t>号——项目质量复核》规定，会计师事务所应当制定与内部复核相关的政策和程序，对内部复核的层级、各层级的复核范围、执行复核的具体要求以及对复核的记录要求等作出规定。在全所范围内统一委派具有足够专业胜任能力和时间，并且无不良执业诚信记录的项目合伙人执行业务。严格遵循不得交叉复核、独立性和冷却期要求。</w:t>
            </w:r>
          </w:p>
          <w:p w14:paraId="6C267671">
            <w:pPr>
              <w:ind w:firstLine="420"/>
              <w:rPr>
                <w:rFonts w:ascii="宋体" w:hAnsi="宋体"/>
                <w:color w:val="000000"/>
                <w:szCs w:val="21"/>
              </w:rPr>
            </w:pPr>
            <w:r>
              <w:rPr>
                <w:rFonts w:ascii="Times New Roman" w:hAnsi="Times New Roman"/>
                <w:bCs/>
                <w:color w:val="000000"/>
                <w:szCs w:val="21"/>
              </w:rPr>
              <w:t>4</w:t>
            </w:r>
            <w:r>
              <w:rPr>
                <w:rFonts w:hint="eastAsia" w:ascii="宋体" w:hAnsi="宋体"/>
                <w:b/>
                <w:bCs/>
                <w:color w:val="000000"/>
                <w:szCs w:val="21"/>
              </w:rPr>
              <w:t>、质量管理缺陷识别和整改方面的政策与程序</w:t>
            </w:r>
          </w:p>
          <w:p w14:paraId="0675FD8E">
            <w:pPr>
              <w:ind w:firstLine="420"/>
              <w:rPr>
                <w:rFonts w:ascii="宋体" w:hAnsi="宋体"/>
                <w:color w:val="000000"/>
                <w:szCs w:val="21"/>
              </w:rPr>
            </w:pPr>
            <w:r>
              <w:rPr>
                <w:rFonts w:hint="eastAsia" w:ascii="宋体" w:hAnsi="宋体"/>
                <w:color w:val="000000"/>
                <w:szCs w:val="21"/>
              </w:rPr>
              <w:t>会计师事务所内部应具备对标新修订的质量管理相关准则及应用指南，设计和实施风险评估程序，设定质量目标、识别和评估质量风险、设计和采取应对措施。事务所应当实施统一的业务管理制度，制定统一的客户与业务风险评估分类标准、业务承接与保持、业务执行、独立性与职业道德管理、报告签发、印章管理等方面的政策和程序并确保有效执行。在质量管理缺陷的风险识别和整改上，事务所具备相应的风险防范和整改程序以应对。</w:t>
            </w:r>
          </w:p>
        </w:tc>
        <w:tc>
          <w:tcPr>
            <w:tcW w:w="709" w:type="dxa"/>
            <w:tcBorders>
              <w:top w:val="single" w:color="auto" w:sz="4" w:space="0"/>
              <w:left w:val="single" w:color="auto" w:sz="4" w:space="0"/>
              <w:bottom w:val="single" w:color="auto" w:sz="4" w:space="0"/>
              <w:right w:val="single" w:color="auto" w:sz="4" w:space="0"/>
            </w:tcBorders>
            <w:vAlign w:val="center"/>
          </w:tcPr>
          <w:p w14:paraId="17AE5E74">
            <w:pPr>
              <w:ind w:firstLine="18" w:firstLineChars="9"/>
              <w:jc w:val="center"/>
              <w:rPr>
                <w:rFonts w:ascii="宋体" w:hAnsi="宋体"/>
                <w:szCs w:val="21"/>
              </w:rPr>
            </w:pPr>
            <w:r>
              <w:rPr>
                <w:rFonts w:ascii="Times New Roman" w:hAnsi="Times New Roman"/>
                <w:szCs w:val="21"/>
              </w:rPr>
              <w:t>40</w:t>
            </w:r>
          </w:p>
        </w:tc>
        <w:tc>
          <w:tcPr>
            <w:tcW w:w="770" w:type="dxa"/>
            <w:tcBorders>
              <w:top w:val="single" w:color="auto" w:sz="4" w:space="0"/>
              <w:left w:val="single" w:color="auto" w:sz="4" w:space="0"/>
              <w:bottom w:val="single" w:color="auto" w:sz="4" w:space="0"/>
              <w:right w:val="single" w:color="auto" w:sz="4" w:space="0"/>
            </w:tcBorders>
          </w:tcPr>
          <w:p w14:paraId="76D6ACFF">
            <w:pPr>
              <w:jc w:val="center"/>
              <w:rPr>
                <w:rFonts w:ascii="宋体" w:hAnsi="宋体"/>
                <w:b/>
                <w:szCs w:val="21"/>
              </w:rPr>
            </w:pPr>
          </w:p>
        </w:tc>
      </w:tr>
      <w:tr w14:paraId="7C66C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457" w:type="dxa"/>
            <w:tcBorders>
              <w:top w:val="single" w:color="auto" w:sz="4" w:space="0"/>
              <w:left w:val="single" w:color="auto" w:sz="4" w:space="0"/>
              <w:bottom w:val="single" w:color="auto" w:sz="4" w:space="0"/>
              <w:right w:val="single" w:color="auto" w:sz="4" w:space="0"/>
            </w:tcBorders>
            <w:vAlign w:val="center"/>
          </w:tcPr>
          <w:p w14:paraId="2E596E0E">
            <w:pPr>
              <w:snapToGrid w:val="0"/>
              <w:jc w:val="center"/>
              <w:rPr>
                <w:rFonts w:ascii="宋体" w:hAnsi="宋体"/>
                <w:szCs w:val="21"/>
              </w:rPr>
            </w:pPr>
            <w:r>
              <w:rPr>
                <w:rFonts w:ascii="Times New Roman" w:hAnsi="Times New Roman"/>
                <w:szCs w:val="21"/>
              </w:rPr>
              <w:t>8</w:t>
            </w:r>
          </w:p>
        </w:tc>
        <w:tc>
          <w:tcPr>
            <w:tcW w:w="1103" w:type="dxa"/>
            <w:tcBorders>
              <w:top w:val="single" w:color="auto" w:sz="4" w:space="0"/>
              <w:left w:val="single" w:color="auto" w:sz="4" w:space="0"/>
              <w:bottom w:val="single" w:color="auto" w:sz="4" w:space="0"/>
              <w:right w:val="single" w:color="auto" w:sz="4" w:space="0"/>
            </w:tcBorders>
            <w:vAlign w:val="center"/>
          </w:tcPr>
          <w:p w14:paraId="624B6821">
            <w:pPr>
              <w:jc w:val="center"/>
              <w:rPr>
                <w:rFonts w:ascii="宋体" w:hAnsi="宋体"/>
                <w:szCs w:val="21"/>
              </w:rPr>
            </w:pPr>
            <w:r>
              <w:rPr>
                <w:rFonts w:hint="eastAsia" w:ascii="宋体" w:hAnsi="宋体"/>
                <w:szCs w:val="21"/>
              </w:rPr>
              <w:t>审计费用报价</w:t>
            </w:r>
          </w:p>
        </w:tc>
        <w:tc>
          <w:tcPr>
            <w:tcW w:w="10914" w:type="dxa"/>
            <w:tcBorders>
              <w:top w:val="single" w:color="auto" w:sz="4" w:space="0"/>
              <w:left w:val="single" w:color="auto" w:sz="4" w:space="0"/>
              <w:bottom w:val="single" w:color="auto" w:sz="4" w:space="0"/>
              <w:right w:val="single" w:color="auto" w:sz="4" w:space="0"/>
            </w:tcBorders>
            <w:vAlign w:val="center"/>
          </w:tcPr>
          <w:p w14:paraId="09787A9D">
            <w:pPr>
              <w:ind w:firstLine="420"/>
              <w:rPr>
                <w:rFonts w:ascii="宋体" w:hAnsi="宋体"/>
                <w:color w:val="000000"/>
                <w:szCs w:val="21"/>
              </w:rPr>
            </w:pPr>
            <w:r>
              <w:rPr>
                <w:rFonts w:hint="eastAsia" w:ascii="宋体" w:hAnsi="宋体"/>
                <w:color w:val="000000"/>
                <w:szCs w:val="21"/>
              </w:rPr>
              <w:t>审计费用报价得分=（</w:t>
            </w:r>
            <w:r>
              <w:rPr>
                <w:rFonts w:ascii="Times New Roman" w:hAnsi="Times New Roman"/>
                <w:color w:val="000000"/>
                <w:szCs w:val="21"/>
              </w:rPr>
              <w:t>1</w:t>
            </w:r>
            <w:r>
              <w:rPr>
                <w:rFonts w:hint="eastAsia" w:ascii="宋体" w:hAnsi="宋体"/>
                <w:color w:val="000000"/>
                <w:szCs w:val="21"/>
              </w:rPr>
              <w:t>-∣选聘基准价-审计费用报价∣/选聘基准价）×审计费用报价要素所占权重分值</w:t>
            </w:r>
          </w:p>
          <w:p w14:paraId="6675D6C1">
            <w:pPr>
              <w:ind w:firstLine="199" w:firstLineChars="95"/>
              <w:rPr>
                <w:rFonts w:ascii="宋体" w:hAnsi="宋体"/>
                <w:color w:val="000000"/>
                <w:szCs w:val="21"/>
              </w:rPr>
            </w:pPr>
            <w:r>
              <w:rPr>
                <w:rFonts w:hint="eastAsia" w:ascii="宋体" w:hAnsi="宋体"/>
                <w:color w:val="000000"/>
                <w:szCs w:val="21"/>
              </w:rPr>
              <w:t>（选聘基准价为所有会计师事务所审计费用报价的平均值。）</w:t>
            </w:r>
          </w:p>
        </w:tc>
        <w:tc>
          <w:tcPr>
            <w:tcW w:w="709" w:type="dxa"/>
            <w:tcBorders>
              <w:top w:val="single" w:color="auto" w:sz="4" w:space="0"/>
              <w:left w:val="single" w:color="auto" w:sz="4" w:space="0"/>
              <w:bottom w:val="single" w:color="auto" w:sz="4" w:space="0"/>
              <w:right w:val="single" w:color="auto" w:sz="4" w:space="0"/>
            </w:tcBorders>
            <w:vAlign w:val="center"/>
          </w:tcPr>
          <w:p w14:paraId="2F8EC3E9">
            <w:pPr>
              <w:ind w:firstLine="18" w:firstLineChars="9"/>
              <w:jc w:val="center"/>
              <w:rPr>
                <w:rFonts w:ascii="宋体" w:hAnsi="宋体"/>
                <w:szCs w:val="21"/>
              </w:rPr>
            </w:pPr>
            <w:r>
              <w:rPr>
                <w:rFonts w:ascii="Times New Roman" w:hAnsi="Times New Roman"/>
                <w:szCs w:val="21"/>
              </w:rPr>
              <w:t>10</w:t>
            </w:r>
          </w:p>
        </w:tc>
        <w:tc>
          <w:tcPr>
            <w:tcW w:w="770" w:type="dxa"/>
            <w:tcBorders>
              <w:top w:val="single" w:color="auto" w:sz="4" w:space="0"/>
              <w:left w:val="single" w:color="auto" w:sz="4" w:space="0"/>
              <w:bottom w:val="single" w:color="auto" w:sz="4" w:space="0"/>
              <w:right w:val="single" w:color="auto" w:sz="4" w:space="0"/>
            </w:tcBorders>
          </w:tcPr>
          <w:p w14:paraId="39E1349E">
            <w:pPr>
              <w:jc w:val="center"/>
              <w:rPr>
                <w:rFonts w:ascii="宋体" w:hAnsi="宋体"/>
                <w:b/>
                <w:szCs w:val="21"/>
              </w:rPr>
            </w:pPr>
          </w:p>
        </w:tc>
      </w:tr>
      <w:tr w14:paraId="166E0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2474" w:type="dxa"/>
            <w:gridSpan w:val="3"/>
            <w:tcBorders>
              <w:top w:val="single" w:color="auto" w:sz="4" w:space="0"/>
              <w:left w:val="single" w:color="auto" w:sz="4" w:space="0"/>
              <w:bottom w:val="single" w:color="auto" w:sz="4" w:space="0"/>
              <w:right w:val="single" w:color="auto" w:sz="4" w:space="0"/>
            </w:tcBorders>
            <w:vAlign w:val="center"/>
          </w:tcPr>
          <w:p w14:paraId="1C2429E7">
            <w:pPr>
              <w:tabs>
                <w:tab w:val="left" w:pos="881"/>
              </w:tabs>
              <w:ind w:firstLine="420"/>
              <w:rPr>
                <w:rFonts w:ascii="宋体" w:hAnsi="宋体"/>
                <w:b/>
                <w:szCs w:val="21"/>
              </w:rPr>
            </w:pPr>
            <w:r>
              <w:rPr>
                <w:rFonts w:hint="eastAsia" w:ascii="宋体" w:hAnsi="宋体"/>
                <w:color w:val="000000"/>
                <w:szCs w:val="21"/>
              </w:rPr>
              <w:t>注：根据《国有企业、上市公司选聘会计师事务所管理办法》规定，评分要素中会计师事务所质量管理水平的分值权重不低于</w:t>
            </w:r>
            <w:r>
              <w:rPr>
                <w:rFonts w:ascii="Times New Roman" w:hAnsi="Times New Roman"/>
                <w:color w:val="000000"/>
                <w:szCs w:val="21"/>
              </w:rPr>
              <w:t>40</w:t>
            </w:r>
            <w:r>
              <w:rPr>
                <w:rFonts w:hint="eastAsia" w:ascii="宋体" w:hAnsi="宋体"/>
                <w:color w:val="000000"/>
                <w:szCs w:val="21"/>
              </w:rPr>
              <w:t>%，审计费用报价的分值权重不高于</w:t>
            </w:r>
            <w:r>
              <w:rPr>
                <w:rFonts w:ascii="Times New Roman" w:hAnsi="Times New Roman"/>
                <w:color w:val="000000"/>
                <w:szCs w:val="21"/>
              </w:rPr>
              <w:t>15</w:t>
            </w:r>
            <w:r>
              <w:rPr>
                <w:rFonts w:hint="eastAsia" w:ascii="宋体" w:hAnsi="宋体"/>
                <w:color w:val="000000"/>
                <w:szCs w:val="21"/>
              </w:rPr>
              <w:t>%。</w:t>
            </w:r>
          </w:p>
        </w:tc>
        <w:tc>
          <w:tcPr>
            <w:tcW w:w="709" w:type="dxa"/>
            <w:tcBorders>
              <w:top w:val="single" w:color="auto" w:sz="4" w:space="0"/>
              <w:left w:val="single" w:color="auto" w:sz="4" w:space="0"/>
              <w:bottom w:val="single" w:color="auto" w:sz="4" w:space="0"/>
              <w:right w:val="single" w:color="auto" w:sz="4" w:space="0"/>
            </w:tcBorders>
            <w:vAlign w:val="center"/>
          </w:tcPr>
          <w:p w14:paraId="2FB547D5">
            <w:pPr>
              <w:jc w:val="center"/>
              <w:rPr>
                <w:rFonts w:ascii="宋体" w:hAnsi="宋体"/>
                <w:b/>
                <w:szCs w:val="21"/>
              </w:rPr>
            </w:pPr>
            <w:r>
              <w:rPr>
                <w:rFonts w:ascii="Times New Roman" w:hAnsi="Times New Roman"/>
                <w:szCs w:val="21"/>
              </w:rPr>
              <w:t>100</w:t>
            </w:r>
          </w:p>
        </w:tc>
        <w:tc>
          <w:tcPr>
            <w:tcW w:w="770" w:type="dxa"/>
            <w:tcBorders>
              <w:top w:val="single" w:color="auto" w:sz="4" w:space="0"/>
              <w:left w:val="single" w:color="auto" w:sz="4" w:space="0"/>
              <w:bottom w:val="single" w:color="auto" w:sz="4" w:space="0"/>
              <w:right w:val="single" w:color="auto" w:sz="4" w:space="0"/>
            </w:tcBorders>
          </w:tcPr>
          <w:p w14:paraId="24D007B8">
            <w:pPr>
              <w:jc w:val="center"/>
              <w:rPr>
                <w:rFonts w:ascii="宋体" w:hAnsi="宋体"/>
                <w:b/>
                <w:szCs w:val="21"/>
              </w:rPr>
            </w:pPr>
          </w:p>
        </w:tc>
      </w:tr>
      <w:tr w14:paraId="6EDB3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3953" w:type="dxa"/>
            <w:gridSpan w:val="5"/>
            <w:tcBorders>
              <w:top w:val="single" w:color="auto" w:sz="4" w:space="0"/>
              <w:left w:val="single" w:color="auto" w:sz="4" w:space="0"/>
              <w:bottom w:val="single" w:color="auto" w:sz="4" w:space="0"/>
              <w:right w:val="single" w:color="auto" w:sz="4" w:space="0"/>
            </w:tcBorders>
            <w:vAlign w:val="center"/>
          </w:tcPr>
          <w:p w14:paraId="13EFEB28">
            <w:pPr>
              <w:rPr>
                <w:rFonts w:ascii="宋体" w:hAnsi="宋体"/>
                <w:b/>
                <w:szCs w:val="21"/>
              </w:rPr>
            </w:pPr>
            <w:r>
              <w:rPr>
                <w:rFonts w:hint="eastAsia" w:ascii="宋体" w:hAnsi="宋体"/>
                <w:b/>
                <w:color w:val="000000"/>
                <w:szCs w:val="21"/>
              </w:rPr>
              <w:t>评价：</w:t>
            </w:r>
          </w:p>
        </w:tc>
      </w:tr>
    </w:tbl>
    <w:p w14:paraId="0409DAFD">
      <w:pPr>
        <w:rPr>
          <w:b/>
          <w:bCs/>
          <w:kern w:val="0"/>
          <w:sz w:val="24"/>
          <w:szCs w:val="32"/>
        </w:rPr>
      </w:pPr>
    </w:p>
    <w:sectPr>
      <w:headerReference r:id="rId4" w:type="default"/>
      <w:footerReference r:id="rId5" w:type="default"/>
      <w:pgSz w:w="11905" w:h="16838"/>
      <w:pgMar w:top="1440" w:right="1123" w:bottom="1440" w:left="1123" w:header="720" w:footer="720" w:gutter="0"/>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CC3FE4">
    <w:pPr>
      <w:pStyle w:val="16"/>
      <w:framePr w:wrap="around" w:vAnchor="text" w:hAnchor="margin" w:xAlign="center" w:y="2"/>
      <w:rPr>
        <w:rStyle w:val="28"/>
      </w:rPr>
    </w:pPr>
    <w:r>
      <w:rPr>
        <w:rStyle w:val="28"/>
      </w:rPr>
      <w:fldChar w:fldCharType="begin"/>
    </w:r>
    <w:r>
      <w:rPr>
        <w:rStyle w:val="28"/>
      </w:rPr>
      <w:instrText xml:space="preserve">PAGE  </w:instrText>
    </w:r>
    <w:r>
      <w:rPr>
        <w:rStyle w:val="28"/>
      </w:rPr>
      <w:fldChar w:fldCharType="separate"/>
    </w:r>
    <w:r>
      <w:rPr>
        <w:rStyle w:val="28"/>
      </w:rPr>
      <w:t>4</w:t>
    </w:r>
    <w:r>
      <w:rPr>
        <w:rStyle w:val="28"/>
      </w:rPr>
      <w:fldChar w:fldCharType="end"/>
    </w:r>
  </w:p>
  <w:p w14:paraId="144FC8C8">
    <w:pPr>
      <w:pStyle w:val="1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FDA6CC">
    <w:pPr>
      <w:pStyle w:val="16"/>
      <w:jc w:val="center"/>
    </w:pPr>
    <w:r>
      <w:fldChar w:fldCharType="begin"/>
    </w:r>
    <w:r>
      <w:instrText xml:space="preserve">PAGE   \* MERGEFORMAT</w:instrText>
    </w:r>
    <w:r>
      <w:fldChar w:fldCharType="separate"/>
    </w:r>
    <w:r>
      <w:rPr>
        <w:lang w:val="zh-CN"/>
      </w:rPr>
      <w:t>10</w:t>
    </w:r>
    <w:r>
      <w:rPr>
        <w:lang w:val="zh-CN"/>
      </w:rPr>
      <w:fldChar w:fldCharType="end"/>
    </w:r>
  </w:p>
  <w:p w14:paraId="2D02D23F">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4E54D"/>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8B76FF"/>
    <w:multiLevelType w:val="multilevel"/>
    <w:tmpl w:val="7E8B76FF"/>
    <w:lvl w:ilvl="0" w:tentative="0">
      <w:start w:val="1"/>
      <w:numFmt w:val="decimal"/>
      <w:pStyle w:val="102"/>
      <w:lvlText w:val="%1、"/>
      <w:lvlJc w:val="left"/>
      <w:pPr>
        <w:tabs>
          <w:tab w:val="left" w:pos="360"/>
        </w:tabs>
        <w:ind w:left="340" w:hanging="340"/>
      </w:pPr>
      <w:rPr>
        <w:rFonts w:ascii="Times New Roman" w:hAnsi="宋体" w:eastAsia="宋体" w:cs="Times New Roman"/>
      </w:rPr>
    </w:lvl>
    <w:lvl w:ilvl="1" w:tentative="0">
      <w:start w:val="1"/>
      <w:numFmt w:val="decimal"/>
      <w:lvlText w:val="%2)"/>
      <w:lvlJc w:val="left"/>
      <w:pPr>
        <w:tabs>
          <w:tab w:val="left" w:pos="360"/>
        </w:tabs>
        <w:ind w:left="360" w:hanging="360"/>
      </w:pPr>
      <w:rPr>
        <w:rFonts w:hint="default"/>
      </w:rPr>
    </w:lvl>
    <w:lvl w:ilvl="2" w:tentative="0">
      <w:start w:val="3"/>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Version="6">
  <b:Source xmlns:b="http://schemas.openxmlformats.org/officeDocument/2006/bibliography" xmlns="http://schemas.openxmlformats.org/officeDocument/2006/bibliography">
    <b:Tag>占位符1</b:Tag>
    <b:RefOrder>1</b:RefOrder>
  </b:Source>
</b:Sources>
</file>

<file path=customXml/itemProps1.xml><?xml version="1.0" encoding="utf-8"?>
<ds:datastoreItem xmlns:ds="http://schemas.openxmlformats.org/officeDocument/2006/customXml" ds:itemID="{58665BA7-CEF2-4498-BDF8-442BE535B47A}">
  <ds:schemaRefs/>
</ds:datastoreItem>
</file>